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665C" w14:textId="403683D7" w:rsidR="00DE7AD7" w:rsidRPr="009B578B" w:rsidRDefault="00C91614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COMPTE-RENDU</w:t>
      </w:r>
      <w:r w:rsidR="00DE7AD7" w:rsidRPr="009B578B">
        <w:rPr>
          <w:b/>
          <w:bCs/>
          <w:sz w:val="28"/>
          <w:szCs w:val="28"/>
        </w:rPr>
        <w:t xml:space="preserve"> DE R</w:t>
      </w:r>
      <w:r w:rsidR="001C55F8" w:rsidRPr="009B578B">
        <w:rPr>
          <w:b/>
          <w:bCs/>
          <w:sz w:val="28"/>
          <w:szCs w:val="28"/>
        </w:rPr>
        <w:t>É</w:t>
      </w:r>
      <w:r w:rsidR="00DE7AD7" w:rsidRPr="009B578B">
        <w:rPr>
          <w:b/>
          <w:bCs/>
          <w:sz w:val="28"/>
          <w:szCs w:val="28"/>
        </w:rPr>
        <w:t>UNION</w:t>
      </w:r>
    </w:p>
    <w:p w14:paraId="0455E51E" w14:textId="77777777" w:rsidR="00DE7AD7" w:rsidRPr="009B578B" w:rsidRDefault="00DE7AD7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DU CONSEIL MUNICIPAL</w:t>
      </w:r>
    </w:p>
    <w:p w14:paraId="27514DB1" w14:textId="77777777" w:rsidR="00DE7AD7" w:rsidRPr="00856431" w:rsidRDefault="00DE7AD7" w:rsidP="00BB0881">
      <w:pPr>
        <w:ind w:right="-2"/>
        <w:jc w:val="center"/>
        <w:rPr>
          <w:b/>
          <w:sz w:val="16"/>
          <w:szCs w:val="16"/>
        </w:rPr>
      </w:pPr>
    </w:p>
    <w:p w14:paraId="65482044" w14:textId="0EAEB30C" w:rsidR="00F91C9C" w:rsidRDefault="00F91C9C" w:rsidP="00BB0881">
      <w:pPr>
        <w:ind w:right="-2"/>
        <w:jc w:val="center"/>
        <w:rPr>
          <w:b/>
        </w:rPr>
      </w:pPr>
      <w:r w:rsidRPr="009B578B">
        <w:rPr>
          <w:b/>
        </w:rPr>
        <w:t xml:space="preserve">Séance ORDINAIRE du </w:t>
      </w:r>
      <w:r w:rsidR="006D2DD3">
        <w:rPr>
          <w:b/>
        </w:rPr>
        <w:t xml:space="preserve">26 </w:t>
      </w:r>
      <w:r w:rsidR="00611388">
        <w:rPr>
          <w:b/>
        </w:rPr>
        <w:t>mars 2022</w:t>
      </w:r>
    </w:p>
    <w:p w14:paraId="1B0ABAE1" w14:textId="77777777" w:rsidR="00F91C9C" w:rsidRPr="009B578B" w:rsidRDefault="00F91C9C" w:rsidP="00BB0881">
      <w:pPr>
        <w:ind w:right="-2"/>
        <w:jc w:val="center"/>
      </w:pPr>
    </w:p>
    <w:p w14:paraId="1167BFA5" w14:textId="28BED06B" w:rsidR="00782602" w:rsidRDefault="00B06DB4" w:rsidP="00782602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</w:rPr>
      </w:pPr>
      <w:r w:rsidRPr="00782602">
        <w:rPr>
          <w:kern w:val="28"/>
        </w:rPr>
        <w:t xml:space="preserve">Tous les membres </w:t>
      </w:r>
      <w:r w:rsidR="00AB3822" w:rsidRPr="00782602">
        <w:rPr>
          <w:kern w:val="28"/>
        </w:rPr>
        <w:t>en exercice</w:t>
      </w:r>
      <w:r w:rsidRPr="00782602">
        <w:rPr>
          <w:kern w:val="28"/>
        </w:rPr>
        <w:t xml:space="preserve"> sont présent</w:t>
      </w:r>
      <w:r w:rsidR="00446034" w:rsidRPr="00782602">
        <w:rPr>
          <w:kern w:val="28"/>
        </w:rPr>
        <w:t>s</w:t>
      </w:r>
      <w:r w:rsidR="00177330">
        <w:rPr>
          <w:kern w:val="28"/>
        </w:rPr>
        <w:t>.</w:t>
      </w:r>
    </w:p>
    <w:p w14:paraId="2FFAD47C" w14:textId="7B62E3DF" w:rsidR="002D7FEB" w:rsidRPr="00286E8B" w:rsidRDefault="00F91C9C" w:rsidP="00BB0881">
      <w:pPr>
        <w:ind w:right="-2"/>
        <w:jc w:val="both"/>
        <w:rPr>
          <w:kern w:val="28"/>
        </w:rPr>
      </w:pPr>
      <w:r w:rsidRPr="00782602">
        <w:rPr>
          <w:bCs/>
        </w:rPr>
        <w:t>Secrétaire de la séance</w:t>
      </w:r>
      <w:r w:rsidRPr="009B578B">
        <w:t xml:space="preserve"> : </w:t>
      </w:r>
      <w:r w:rsidR="00177330">
        <w:t>Mme Béatrice PRIEUR</w:t>
      </w:r>
    </w:p>
    <w:p w14:paraId="6FFB422F" w14:textId="191D81D9" w:rsidR="00F91C9C" w:rsidRPr="009B578B" w:rsidRDefault="009B578B" w:rsidP="00BB0881">
      <w:pPr>
        <w:ind w:right="-2"/>
        <w:jc w:val="both"/>
      </w:pPr>
      <w:r>
        <w:rPr>
          <w:bCs/>
        </w:rPr>
        <w:t>C</w:t>
      </w:r>
      <w:r w:rsidR="00F91C9C" w:rsidRPr="009B578B">
        <w:rPr>
          <w:bCs/>
        </w:rPr>
        <w:t>onvocation </w:t>
      </w:r>
      <w:r>
        <w:t>du</w:t>
      </w:r>
      <w:r w:rsidR="00F91C9C" w:rsidRPr="009B578B">
        <w:rPr>
          <w:b/>
        </w:rPr>
        <w:t xml:space="preserve"> </w:t>
      </w:r>
      <w:r w:rsidR="00177330">
        <w:t>15 mars</w:t>
      </w:r>
      <w:r w:rsidR="00022C64">
        <w:t xml:space="preserve"> 2022</w:t>
      </w:r>
    </w:p>
    <w:p w14:paraId="34D52FFA" w14:textId="602C0ECD" w:rsidR="00E8306F" w:rsidRDefault="00D95EDE" w:rsidP="00BB0881">
      <w:pPr>
        <w:ind w:right="-2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973D3C" wp14:editId="2A2C548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FC330" w14:textId="72871ED5" w:rsidR="006424E8" w:rsidRPr="00BB0881" w:rsidRDefault="006424E8" w:rsidP="00D95ED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73D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9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" filled="f" stroked="f">
                <v:textbox style="mso-fit-shape-to-text:t">
                  <w:txbxContent>
                    <w:p w14:paraId="7B1FC330" w14:textId="72871ED5" w:rsidR="006424E8" w:rsidRPr="00BB0881" w:rsidRDefault="006424E8" w:rsidP="00D95EDE">
                      <w:pPr>
                        <w:jc w:val="center"/>
                        <w:rPr>
                          <w:rFonts w:cs="Arial"/>
                          <w:b/>
                          <w:bCs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06F">
        <w:rPr>
          <w:rFonts w:cs="Arial"/>
        </w:rPr>
        <w:t>Approbation du compte</w:t>
      </w:r>
      <w:r w:rsidR="002D7FEB">
        <w:rPr>
          <w:rFonts w:cs="Arial"/>
        </w:rPr>
        <w:t>-</w:t>
      </w:r>
      <w:r w:rsidR="00E8306F">
        <w:rPr>
          <w:rFonts w:cs="Arial"/>
        </w:rPr>
        <w:t xml:space="preserve">rendu de la séance du </w:t>
      </w:r>
      <w:r w:rsidR="00177330">
        <w:rPr>
          <w:rFonts w:cs="Arial"/>
        </w:rPr>
        <w:t>11 février 2022</w:t>
      </w:r>
    </w:p>
    <w:p w14:paraId="309E7791" w14:textId="77777777" w:rsidR="00575CBA" w:rsidRPr="00E8306F" w:rsidRDefault="00575CBA" w:rsidP="00BB0881">
      <w:pPr>
        <w:ind w:right="-2"/>
        <w:jc w:val="both"/>
        <w:rPr>
          <w:rFonts w:cs="Arial"/>
        </w:rPr>
      </w:pPr>
    </w:p>
    <w:p w14:paraId="73CF831D" w14:textId="69C39B94" w:rsidR="00182803" w:rsidRPr="001F5E3A" w:rsidRDefault="00177330" w:rsidP="00BB0881">
      <w:pPr>
        <w:shd w:val="clear" w:color="auto" w:fill="8DB3E2" w:themeFill="text2" w:themeFillTint="66"/>
        <w:ind w:right="-2"/>
        <w:rPr>
          <w:b/>
          <w:smallCaps/>
        </w:rPr>
      </w:pPr>
      <w:bookmarkStart w:id="0" w:name="_Hlk95812915"/>
      <w:r w:rsidRPr="001F5E3A">
        <w:rPr>
          <w:b/>
          <w:smallCaps/>
        </w:rPr>
        <w:t xml:space="preserve">compte </w:t>
      </w:r>
      <w:r w:rsidR="00863164" w:rsidRPr="001F5E3A">
        <w:rPr>
          <w:b/>
          <w:smallCaps/>
        </w:rPr>
        <w:t>administratif et compte de gestion</w:t>
      </w:r>
      <w:r w:rsidRPr="001F5E3A">
        <w:rPr>
          <w:b/>
          <w:smallCaps/>
        </w:rPr>
        <w:t xml:space="preserve"> 2021</w:t>
      </w:r>
    </w:p>
    <w:bookmarkEnd w:id="0"/>
    <w:p w14:paraId="2859C0F0" w14:textId="77777777" w:rsidR="00A84DDF" w:rsidRDefault="00A84DDF" w:rsidP="00867B21">
      <w:pPr>
        <w:ind w:right="-2"/>
        <w:jc w:val="both"/>
      </w:pP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3"/>
        <w:gridCol w:w="1723"/>
        <w:gridCol w:w="1774"/>
        <w:gridCol w:w="1780"/>
        <w:gridCol w:w="1467"/>
        <w:gridCol w:w="1814"/>
      </w:tblGrid>
      <w:tr w:rsidR="00177330" w:rsidRPr="0037768C" w14:paraId="3CCA3568" w14:textId="77777777" w:rsidTr="00215183"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7276" w14:textId="77777777" w:rsidR="00177330" w:rsidRPr="002D7FEB" w:rsidRDefault="00177330" w:rsidP="00215183">
            <w:pPr>
              <w:ind w:right="-2"/>
            </w:pP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1CF6E7" w14:textId="77777777" w:rsidR="00177330" w:rsidRPr="002D7FEB" w:rsidRDefault="00177330" w:rsidP="00215183">
            <w:pPr>
              <w:ind w:right="-2"/>
              <w:jc w:val="center"/>
            </w:pPr>
            <w:r w:rsidRPr="002D7FEB">
              <w:t>DEPENSES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3238D42F" w14:textId="77777777" w:rsidR="00177330" w:rsidRPr="002D7FEB" w:rsidRDefault="00177330" w:rsidP="00215183">
            <w:pPr>
              <w:ind w:right="-2"/>
              <w:jc w:val="center"/>
            </w:pPr>
            <w:r w:rsidRPr="002D7FEB">
              <w:t>RECETTES</w:t>
            </w:r>
          </w:p>
        </w:tc>
        <w:tc>
          <w:tcPr>
            <w:tcW w:w="1780" w:type="dxa"/>
          </w:tcPr>
          <w:p w14:paraId="4930E7DD" w14:textId="49B283C2" w:rsidR="00177330" w:rsidRPr="002D7FEB" w:rsidRDefault="00177330" w:rsidP="00215183">
            <w:pPr>
              <w:ind w:right="-2"/>
            </w:pPr>
            <w:r>
              <w:t>Résultat 2021</w:t>
            </w:r>
          </w:p>
        </w:tc>
        <w:tc>
          <w:tcPr>
            <w:tcW w:w="1467" w:type="dxa"/>
          </w:tcPr>
          <w:p w14:paraId="743BEC7D" w14:textId="5C759B53" w:rsidR="00177330" w:rsidRDefault="00177330" w:rsidP="00215183">
            <w:pPr>
              <w:ind w:right="-2"/>
            </w:pPr>
            <w:r>
              <w:t>Report 2020</w:t>
            </w:r>
          </w:p>
        </w:tc>
        <w:tc>
          <w:tcPr>
            <w:tcW w:w="1814" w:type="dxa"/>
          </w:tcPr>
          <w:p w14:paraId="39EC6422" w14:textId="77777777" w:rsidR="00177330" w:rsidRDefault="00177330" w:rsidP="00215183">
            <w:pPr>
              <w:ind w:right="-2"/>
            </w:pPr>
            <w:r>
              <w:t>Résultat cumulé</w:t>
            </w:r>
          </w:p>
        </w:tc>
      </w:tr>
      <w:tr w:rsidR="00177330" w:rsidRPr="0037768C" w14:paraId="405D3BBC" w14:textId="77777777" w:rsidTr="00215183"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B471" w14:textId="77777777" w:rsidR="00177330" w:rsidRPr="002D7FEB" w:rsidRDefault="00177330" w:rsidP="00215183">
            <w:pPr>
              <w:ind w:right="-2"/>
              <w:jc w:val="center"/>
            </w:pPr>
          </w:p>
          <w:p w14:paraId="3C6A2ED7" w14:textId="77777777" w:rsidR="00177330" w:rsidRPr="002D7FEB" w:rsidRDefault="00177330" w:rsidP="00215183">
            <w:pPr>
              <w:ind w:right="-2"/>
              <w:jc w:val="center"/>
            </w:pPr>
            <w:r w:rsidRPr="002D7FEB">
              <w:t>Section de Fonctionnement.</w:t>
            </w: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93B523" w14:textId="1C15BD4A" w:rsidR="00177330" w:rsidRPr="002D7FEB" w:rsidRDefault="005F6CC0" w:rsidP="00215183">
            <w:pPr>
              <w:ind w:right="-2"/>
              <w:jc w:val="center"/>
            </w:pPr>
            <w:r>
              <w:t>139 592.86</w:t>
            </w:r>
            <w:r w:rsidR="00177330" w:rsidRPr="002D7FEB">
              <w:t xml:space="preserve"> €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D98E10C" w14:textId="769B9773" w:rsidR="00177330" w:rsidRPr="002D7FEB" w:rsidRDefault="005F6CC0" w:rsidP="00215183">
            <w:pPr>
              <w:ind w:right="-2"/>
              <w:jc w:val="center"/>
            </w:pPr>
            <w:r>
              <w:t>189 958.34</w:t>
            </w:r>
            <w:r w:rsidR="00177330" w:rsidRPr="002D7FEB">
              <w:t xml:space="preserve"> €</w:t>
            </w:r>
          </w:p>
        </w:tc>
        <w:tc>
          <w:tcPr>
            <w:tcW w:w="1780" w:type="dxa"/>
          </w:tcPr>
          <w:p w14:paraId="7CFE6152" w14:textId="77777777" w:rsidR="00177330" w:rsidRPr="002D7FEB" w:rsidRDefault="00177330" w:rsidP="00863164">
            <w:pPr>
              <w:ind w:right="-2"/>
              <w:jc w:val="both"/>
            </w:pPr>
          </w:p>
          <w:p w14:paraId="45E8906F" w14:textId="673C8421" w:rsidR="00177330" w:rsidRPr="002D7FEB" w:rsidRDefault="00177330" w:rsidP="00863164">
            <w:pPr>
              <w:ind w:right="-2"/>
              <w:jc w:val="both"/>
            </w:pPr>
            <w:r w:rsidRPr="002D7FEB">
              <w:t xml:space="preserve">    </w:t>
            </w:r>
            <w:r w:rsidR="005F6CC0">
              <w:t>50 365.48 €</w:t>
            </w:r>
          </w:p>
        </w:tc>
        <w:tc>
          <w:tcPr>
            <w:tcW w:w="1467" w:type="dxa"/>
          </w:tcPr>
          <w:p w14:paraId="05F9BFBB" w14:textId="77777777" w:rsidR="00177330" w:rsidRDefault="00177330" w:rsidP="00863164">
            <w:pPr>
              <w:ind w:right="-2"/>
              <w:jc w:val="both"/>
            </w:pPr>
          </w:p>
          <w:p w14:paraId="593D0E66" w14:textId="2D4ECAC7" w:rsidR="00177330" w:rsidRPr="002D7FEB" w:rsidRDefault="00177330" w:rsidP="00863164">
            <w:pPr>
              <w:ind w:right="-2"/>
              <w:jc w:val="both"/>
            </w:pPr>
            <w:r>
              <w:t xml:space="preserve"> </w:t>
            </w:r>
            <w:r w:rsidR="005F6CC0">
              <w:t>81 670.62 €</w:t>
            </w:r>
          </w:p>
        </w:tc>
        <w:tc>
          <w:tcPr>
            <w:tcW w:w="1814" w:type="dxa"/>
          </w:tcPr>
          <w:p w14:paraId="165E3201" w14:textId="77777777" w:rsidR="00177330" w:rsidRDefault="00177330" w:rsidP="00863164">
            <w:pPr>
              <w:ind w:right="-2"/>
              <w:jc w:val="both"/>
            </w:pPr>
          </w:p>
          <w:p w14:paraId="36B106C3" w14:textId="1D7B4F8D" w:rsidR="00177330" w:rsidRPr="002D7FEB" w:rsidRDefault="00177330" w:rsidP="00863164">
            <w:pPr>
              <w:ind w:right="-2"/>
              <w:jc w:val="both"/>
            </w:pPr>
            <w:r>
              <w:t xml:space="preserve"> </w:t>
            </w:r>
            <w:r w:rsidR="007A7F7C">
              <w:t>132 036.10 €</w:t>
            </w:r>
            <w:r>
              <w:t xml:space="preserve"> </w:t>
            </w:r>
          </w:p>
        </w:tc>
      </w:tr>
      <w:tr w:rsidR="00177330" w:rsidRPr="0037768C" w14:paraId="0C6F5243" w14:textId="77777777" w:rsidTr="005D35D1">
        <w:trPr>
          <w:trHeight w:val="939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C96D6B" w14:textId="77777777" w:rsidR="00177330" w:rsidRPr="002D7FEB" w:rsidRDefault="00177330" w:rsidP="00215183">
            <w:pPr>
              <w:ind w:right="-2"/>
              <w:jc w:val="center"/>
            </w:pPr>
          </w:p>
          <w:p w14:paraId="71777EB4" w14:textId="77777777" w:rsidR="00177330" w:rsidRPr="002D7FEB" w:rsidRDefault="00177330" w:rsidP="00215183">
            <w:pPr>
              <w:ind w:right="-2"/>
              <w:jc w:val="center"/>
            </w:pPr>
            <w:r w:rsidRPr="002D7FEB">
              <w:t>Section d’Investissement.</w:t>
            </w:r>
          </w:p>
          <w:p w14:paraId="1044C19F" w14:textId="77777777" w:rsidR="00177330" w:rsidRPr="002D7FEB" w:rsidRDefault="00177330" w:rsidP="00215183">
            <w:pPr>
              <w:ind w:right="-2"/>
              <w:jc w:val="center"/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38C4988D" w14:textId="149BE4A4" w:rsidR="00177330" w:rsidRPr="002D7FEB" w:rsidRDefault="005F6CC0" w:rsidP="00215183">
            <w:pPr>
              <w:ind w:right="-2"/>
              <w:jc w:val="center"/>
            </w:pPr>
            <w:r>
              <w:t>56 913.32</w:t>
            </w:r>
            <w:r w:rsidR="00177330" w:rsidRPr="002D7FEB">
              <w:t xml:space="preserve"> €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91D1E01" w14:textId="54E63E57" w:rsidR="00177330" w:rsidRPr="002D7FEB" w:rsidRDefault="00E73A49" w:rsidP="00215183">
            <w:pPr>
              <w:ind w:right="-2"/>
            </w:pPr>
            <w:r>
              <w:t xml:space="preserve">    </w:t>
            </w:r>
            <w:r w:rsidR="005F6CC0">
              <w:t>31 439.63</w:t>
            </w:r>
            <w:r w:rsidR="00177330">
              <w:t xml:space="preserve"> </w:t>
            </w:r>
            <w:r w:rsidR="00177330" w:rsidRPr="002D7FEB">
              <w:t>€</w:t>
            </w:r>
          </w:p>
        </w:tc>
        <w:tc>
          <w:tcPr>
            <w:tcW w:w="1780" w:type="dxa"/>
          </w:tcPr>
          <w:p w14:paraId="1D1502D4" w14:textId="77777777" w:rsidR="00177330" w:rsidRDefault="00177330" w:rsidP="00863164">
            <w:r w:rsidRPr="002D7FEB">
              <w:t xml:space="preserve">   </w:t>
            </w:r>
          </w:p>
          <w:p w14:paraId="4A1A3929" w14:textId="2B12F0F5" w:rsidR="00177330" w:rsidRPr="002D7FEB" w:rsidRDefault="005F6CC0" w:rsidP="00863164">
            <w:r>
              <w:t>-25 473.69 €</w:t>
            </w:r>
          </w:p>
        </w:tc>
        <w:tc>
          <w:tcPr>
            <w:tcW w:w="1467" w:type="dxa"/>
          </w:tcPr>
          <w:p w14:paraId="6B0FB1EF" w14:textId="77777777" w:rsidR="00177330" w:rsidRDefault="00177330" w:rsidP="00863164"/>
          <w:p w14:paraId="542A0812" w14:textId="2DC77110" w:rsidR="00177330" w:rsidRPr="00B94D4D" w:rsidRDefault="005F6CC0" w:rsidP="00863164">
            <w:pPr>
              <w:ind w:right="-112"/>
            </w:pPr>
            <w:r>
              <w:t>- 28 026.18 €</w:t>
            </w:r>
          </w:p>
        </w:tc>
        <w:tc>
          <w:tcPr>
            <w:tcW w:w="1814" w:type="dxa"/>
          </w:tcPr>
          <w:p w14:paraId="6B848A41" w14:textId="77777777" w:rsidR="00177330" w:rsidRDefault="00177330" w:rsidP="00863164"/>
          <w:p w14:paraId="56B8D925" w14:textId="7353B5C3" w:rsidR="00177330" w:rsidRPr="007A7F7C" w:rsidRDefault="007A7F7C" w:rsidP="00863164">
            <w:r>
              <w:t>-</w:t>
            </w:r>
            <w:r w:rsidRPr="007A7F7C">
              <w:t>53</w:t>
            </w:r>
            <w:r>
              <w:t xml:space="preserve"> </w:t>
            </w:r>
            <w:r w:rsidRPr="007A7F7C">
              <w:t>499.87 €</w:t>
            </w:r>
          </w:p>
        </w:tc>
      </w:tr>
    </w:tbl>
    <w:p w14:paraId="00A6E351" w14:textId="77777777" w:rsidR="00863164" w:rsidRDefault="00863164" w:rsidP="00863164">
      <w:pPr>
        <w:pStyle w:val="Retraitcorpsdetexte"/>
        <w:spacing w:after="0"/>
        <w:ind w:left="0" w:right="-2"/>
      </w:pPr>
      <w:r>
        <w:t>Le compte administratif et le compte de gestion du Trésorier sont conformes et sont approuvés à l’unanimité.</w:t>
      </w:r>
    </w:p>
    <w:p w14:paraId="20A5128C" w14:textId="77777777" w:rsidR="00656D48" w:rsidRDefault="00656D48" w:rsidP="00286E8B">
      <w:pPr>
        <w:widowControl w:val="0"/>
        <w:tabs>
          <w:tab w:val="left" w:pos="204"/>
        </w:tabs>
        <w:spacing w:line="283" w:lineRule="exact"/>
        <w:rPr>
          <w:iCs/>
        </w:rPr>
      </w:pPr>
    </w:p>
    <w:p w14:paraId="688518C8" w14:textId="549CB31A" w:rsidR="00AE46FB" w:rsidRPr="001F5E3A" w:rsidRDefault="001F5E3A" w:rsidP="00BB0881">
      <w:pPr>
        <w:shd w:val="clear" w:color="auto" w:fill="8DB3E2" w:themeFill="text2" w:themeFillTint="66"/>
        <w:ind w:right="-2"/>
        <w:rPr>
          <w:b/>
          <w:smallCaps/>
        </w:rPr>
      </w:pPr>
      <w:r w:rsidRPr="001F5E3A">
        <w:rPr>
          <w:b/>
          <w:smallCaps/>
        </w:rPr>
        <w:t>vote des taxes locales</w:t>
      </w:r>
    </w:p>
    <w:p w14:paraId="594EE5FB" w14:textId="77777777" w:rsidR="00611388" w:rsidRDefault="00611388" w:rsidP="003D358B">
      <w:pPr>
        <w:tabs>
          <w:tab w:val="left" w:pos="1985"/>
        </w:tabs>
        <w:ind w:right="-567"/>
        <w:jc w:val="both"/>
        <w:rPr>
          <w:snapToGrid w:val="0"/>
          <w:szCs w:val="22"/>
        </w:rPr>
      </w:pPr>
      <w:bookmarkStart w:id="1" w:name="_Hlk67992508"/>
    </w:p>
    <w:p w14:paraId="24C862F0" w14:textId="40117CB0" w:rsidR="003D358B" w:rsidRPr="00D10C9C" w:rsidRDefault="003D358B" w:rsidP="003D358B">
      <w:pPr>
        <w:tabs>
          <w:tab w:val="left" w:pos="1985"/>
        </w:tabs>
        <w:ind w:right="-567"/>
        <w:jc w:val="both"/>
        <w:rPr>
          <w:snapToGrid w:val="0"/>
          <w:szCs w:val="22"/>
        </w:rPr>
      </w:pPr>
      <w:r w:rsidRPr="00D10C9C">
        <w:rPr>
          <w:snapToGrid w:val="0"/>
          <w:szCs w:val="22"/>
        </w:rPr>
        <w:t xml:space="preserve">Le Conseil Municipal, </w:t>
      </w:r>
      <w:r w:rsidR="00B26699">
        <w:rPr>
          <w:snapToGrid w:val="0"/>
          <w:szCs w:val="22"/>
        </w:rPr>
        <w:t>décide à l’unanimité de maintenir les taux :</w:t>
      </w:r>
    </w:p>
    <w:p w14:paraId="72B3E1DC" w14:textId="3368FA2A" w:rsidR="001F5E3A" w:rsidRDefault="001F5E3A" w:rsidP="00560B19">
      <w:pPr>
        <w:tabs>
          <w:tab w:val="left" w:pos="1985"/>
        </w:tabs>
        <w:jc w:val="both"/>
        <w:rPr>
          <w:snapToGrid w:val="0"/>
        </w:rPr>
      </w:pPr>
    </w:p>
    <w:tbl>
      <w:tblPr>
        <w:tblpPr w:leftFromText="141" w:rightFromText="141" w:vertAnchor="text" w:horzAnchor="page" w:tblpX="2551" w:tblpY="1"/>
        <w:tblW w:w="5667" w:type="dxa"/>
        <w:tblLook w:val="01E0" w:firstRow="1" w:lastRow="1" w:firstColumn="1" w:lastColumn="1" w:noHBand="0" w:noVBand="0"/>
      </w:tblPr>
      <w:tblGrid>
        <w:gridCol w:w="2700"/>
        <w:gridCol w:w="2967"/>
      </w:tblGrid>
      <w:tr w:rsidR="003D358B" w:rsidRPr="00B674D4" w14:paraId="71D05957" w14:textId="77777777" w:rsidTr="003D358B"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91B36" w14:textId="77777777" w:rsidR="003D358B" w:rsidRPr="00B674D4" w:rsidRDefault="003D358B" w:rsidP="003D358B">
            <w:pPr>
              <w:ind w:right="36"/>
              <w:jc w:val="both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AE67" w14:textId="77777777" w:rsidR="003D358B" w:rsidRPr="00B674D4" w:rsidRDefault="003D358B" w:rsidP="003D358B">
            <w:pPr>
              <w:ind w:left="-108" w:right="-144"/>
              <w:jc w:val="center"/>
              <w:rPr>
                <w:rFonts w:ascii="Cambria" w:hAnsi="Cambria"/>
                <w:b/>
                <w:bCs/>
                <w:i/>
                <w:sz w:val="22"/>
                <w:szCs w:val="20"/>
              </w:rPr>
            </w:pPr>
            <w:r w:rsidRPr="00B674D4">
              <w:rPr>
                <w:rFonts w:ascii="Cambria" w:hAnsi="Cambria"/>
                <w:b/>
                <w:bCs/>
                <w:i/>
                <w:sz w:val="22"/>
                <w:szCs w:val="20"/>
              </w:rPr>
              <w:t>Taux de référence pour 20</w:t>
            </w:r>
            <w:r>
              <w:rPr>
                <w:rFonts w:ascii="Cambria" w:hAnsi="Cambria"/>
                <w:b/>
                <w:bCs/>
                <w:i/>
                <w:sz w:val="22"/>
                <w:szCs w:val="20"/>
              </w:rPr>
              <w:t>22</w:t>
            </w:r>
          </w:p>
        </w:tc>
      </w:tr>
      <w:tr w:rsidR="003D358B" w:rsidRPr="00B674D4" w14:paraId="6CB01974" w14:textId="77777777" w:rsidTr="003D358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5A17" w14:textId="77777777" w:rsidR="003D358B" w:rsidRPr="00B674D4" w:rsidRDefault="003D358B" w:rsidP="003D358B">
            <w:pPr>
              <w:ind w:right="36"/>
              <w:jc w:val="both"/>
              <w:rPr>
                <w:rFonts w:ascii="Cambria" w:hAnsi="Cambria"/>
                <w:bCs/>
                <w:szCs w:val="22"/>
              </w:rPr>
            </w:pPr>
            <w:r w:rsidRPr="00B674D4">
              <w:rPr>
                <w:rFonts w:ascii="Cambria" w:hAnsi="Cambria"/>
                <w:bCs/>
                <w:szCs w:val="22"/>
              </w:rPr>
              <w:t>Taxe Foncière bâti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FC18" w14:textId="79E93B22" w:rsidR="003D358B" w:rsidRPr="00B674D4" w:rsidRDefault="003D358B" w:rsidP="003D358B">
            <w:pPr>
              <w:ind w:left="-108" w:right="792"/>
              <w:jc w:val="right"/>
              <w:rPr>
                <w:rFonts w:ascii="Cambria" w:hAnsi="Cambria"/>
                <w:b/>
                <w:bCs/>
                <w:szCs w:val="22"/>
              </w:rPr>
            </w:pPr>
            <w:r>
              <w:rPr>
                <w:rFonts w:ascii="Cambria" w:hAnsi="Cambria"/>
                <w:b/>
                <w:bCs/>
                <w:szCs w:val="22"/>
              </w:rPr>
              <w:t>42.19</w:t>
            </w:r>
            <w:r w:rsidRPr="00B674D4">
              <w:rPr>
                <w:rFonts w:ascii="Cambria" w:hAnsi="Cambria"/>
                <w:b/>
                <w:bCs/>
                <w:szCs w:val="22"/>
              </w:rPr>
              <w:t xml:space="preserve"> %</w:t>
            </w:r>
            <w:r>
              <w:rPr>
                <w:rFonts w:ascii="Cambria" w:hAnsi="Cambria"/>
                <w:b/>
                <w:bCs/>
                <w:szCs w:val="22"/>
              </w:rPr>
              <w:t xml:space="preserve"> </w:t>
            </w:r>
          </w:p>
        </w:tc>
      </w:tr>
      <w:tr w:rsidR="003D358B" w:rsidRPr="00B674D4" w14:paraId="1861450F" w14:textId="77777777" w:rsidTr="003D358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7732" w14:textId="77777777" w:rsidR="003D358B" w:rsidRPr="00B674D4" w:rsidRDefault="003D358B" w:rsidP="003D358B">
            <w:pPr>
              <w:ind w:right="36"/>
              <w:jc w:val="both"/>
              <w:rPr>
                <w:rFonts w:ascii="Cambria" w:hAnsi="Cambria"/>
                <w:bCs/>
                <w:szCs w:val="22"/>
              </w:rPr>
            </w:pPr>
            <w:r w:rsidRPr="00B674D4">
              <w:rPr>
                <w:rFonts w:ascii="Cambria" w:hAnsi="Cambria"/>
                <w:bCs/>
                <w:szCs w:val="22"/>
              </w:rPr>
              <w:t>Taxe Foncière Non-bâti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7CF9" w14:textId="77777777" w:rsidR="003D358B" w:rsidRPr="00B674D4" w:rsidRDefault="003D358B" w:rsidP="003D358B">
            <w:pPr>
              <w:ind w:left="-108" w:right="792"/>
              <w:jc w:val="right"/>
              <w:rPr>
                <w:rFonts w:ascii="Cambria" w:hAnsi="Cambria"/>
                <w:b/>
                <w:bCs/>
                <w:szCs w:val="22"/>
              </w:rPr>
            </w:pPr>
            <w:r w:rsidRPr="00B674D4">
              <w:rPr>
                <w:rFonts w:ascii="Cambria" w:hAnsi="Cambria"/>
                <w:b/>
                <w:bCs/>
                <w:szCs w:val="22"/>
              </w:rPr>
              <w:t>23.82 %</w:t>
            </w:r>
          </w:p>
        </w:tc>
      </w:tr>
    </w:tbl>
    <w:p w14:paraId="5D51EB08" w14:textId="746F2671" w:rsidR="001F5E3A" w:rsidRDefault="001F5E3A" w:rsidP="00560B19">
      <w:pPr>
        <w:tabs>
          <w:tab w:val="left" w:pos="1985"/>
        </w:tabs>
        <w:jc w:val="both"/>
        <w:rPr>
          <w:snapToGrid w:val="0"/>
        </w:rPr>
      </w:pPr>
    </w:p>
    <w:p w14:paraId="6722A6B3" w14:textId="021B3C9F" w:rsidR="001F5E3A" w:rsidRDefault="001F5E3A" w:rsidP="00560B19">
      <w:pPr>
        <w:tabs>
          <w:tab w:val="left" w:pos="1985"/>
        </w:tabs>
        <w:jc w:val="both"/>
        <w:rPr>
          <w:snapToGrid w:val="0"/>
        </w:rPr>
      </w:pPr>
    </w:p>
    <w:p w14:paraId="69F15E1A" w14:textId="26734EB6" w:rsidR="001F5E3A" w:rsidRDefault="001F5E3A" w:rsidP="00560B19">
      <w:pPr>
        <w:tabs>
          <w:tab w:val="left" w:pos="1985"/>
        </w:tabs>
        <w:jc w:val="both"/>
        <w:rPr>
          <w:snapToGrid w:val="0"/>
        </w:rPr>
      </w:pPr>
    </w:p>
    <w:p w14:paraId="309F61CD" w14:textId="1B30AAD8" w:rsidR="003D358B" w:rsidRDefault="003D358B" w:rsidP="00560B19">
      <w:pPr>
        <w:tabs>
          <w:tab w:val="left" w:pos="1985"/>
        </w:tabs>
        <w:jc w:val="both"/>
        <w:rPr>
          <w:snapToGrid w:val="0"/>
        </w:rPr>
      </w:pPr>
    </w:p>
    <w:p w14:paraId="7DA0C3D5" w14:textId="77777777" w:rsidR="003E5E6A" w:rsidRDefault="003E5E6A" w:rsidP="00560B19">
      <w:pPr>
        <w:tabs>
          <w:tab w:val="left" w:pos="1985"/>
        </w:tabs>
        <w:jc w:val="both"/>
        <w:rPr>
          <w:snapToGrid w:val="0"/>
        </w:rPr>
      </w:pPr>
    </w:p>
    <w:p w14:paraId="0005B082" w14:textId="0BA8592D" w:rsidR="003E5E6A" w:rsidRPr="00DC2FC4" w:rsidRDefault="003E5E6A" w:rsidP="003E5E6A">
      <w:pPr>
        <w:shd w:val="clear" w:color="auto" w:fill="8DB3E2" w:themeFill="text2" w:themeFillTint="66"/>
        <w:ind w:right="-2"/>
        <w:rPr>
          <w:b/>
          <w:smallCaps/>
        </w:rPr>
      </w:pPr>
      <w:r w:rsidRPr="00DC2FC4">
        <w:rPr>
          <w:b/>
          <w:smallCaps/>
        </w:rPr>
        <w:t>Affectation de résultat de fonctionnement 202</w:t>
      </w:r>
      <w:r>
        <w:rPr>
          <w:b/>
          <w:smallCaps/>
        </w:rPr>
        <w:t>1</w:t>
      </w:r>
    </w:p>
    <w:p w14:paraId="755124B2" w14:textId="77777777" w:rsidR="003E5E6A" w:rsidRPr="000F4183" w:rsidRDefault="003E5E6A" w:rsidP="003E5E6A">
      <w:pPr>
        <w:pStyle w:val="Retraitcorpsdetexte"/>
        <w:spacing w:after="0"/>
        <w:ind w:left="0" w:right="-2"/>
        <w:rPr>
          <w:sz w:val="12"/>
          <w:szCs w:val="12"/>
        </w:rPr>
      </w:pPr>
    </w:p>
    <w:p w14:paraId="7C1BF6F1" w14:textId="4B714514" w:rsidR="0060377F" w:rsidRDefault="003E5E6A" w:rsidP="003E5E6A">
      <w:pPr>
        <w:pStyle w:val="Retraitcorpsdetexte"/>
        <w:spacing w:after="0"/>
        <w:ind w:left="0" w:right="-2"/>
      </w:pPr>
      <w:r>
        <w:t xml:space="preserve">L’excédent de fonctionnement de 2021 </w:t>
      </w:r>
      <w:r w:rsidR="0060377F">
        <w:t>de</w:t>
      </w:r>
      <w:r>
        <w:t xml:space="preserve"> </w:t>
      </w:r>
      <w:r w:rsidR="0060377F" w:rsidRPr="0060377F">
        <w:rPr>
          <w:b/>
          <w:bCs/>
        </w:rPr>
        <w:t>132 036.10 €</w:t>
      </w:r>
      <w:r w:rsidR="0060377F">
        <w:t xml:space="preserve"> </w:t>
      </w:r>
      <w:r w:rsidR="00B26699">
        <w:t xml:space="preserve">est ventilé en </w:t>
      </w:r>
      <w:r w:rsidR="00304B2E">
        <w:t xml:space="preserve">report de </w:t>
      </w:r>
      <w:r w:rsidR="00B26699">
        <w:t xml:space="preserve">fonctionnement </w:t>
      </w:r>
      <w:r w:rsidR="00074D3D">
        <w:t>pour 78</w:t>
      </w:r>
      <w:r w:rsidR="0060377F">
        <w:t xml:space="preserve"> 536.23 € </w:t>
      </w:r>
      <w:r>
        <w:t>sur 2022</w:t>
      </w:r>
      <w:r w:rsidR="0060377F">
        <w:t xml:space="preserve"> et</w:t>
      </w:r>
      <w:r w:rsidR="00B26699">
        <w:t xml:space="preserve"> </w:t>
      </w:r>
      <w:r w:rsidR="00074D3D">
        <w:t>en investissement</w:t>
      </w:r>
      <w:r w:rsidR="00B26699">
        <w:t xml:space="preserve"> </w:t>
      </w:r>
      <w:r w:rsidR="00074D3D">
        <w:t>pour 53</w:t>
      </w:r>
      <w:r w:rsidR="0060377F">
        <w:t> 499.87 € pour couvrir le déficit.</w:t>
      </w:r>
    </w:p>
    <w:p w14:paraId="44F9A6B8" w14:textId="49CA6026" w:rsidR="003E5E6A" w:rsidRDefault="003E5E6A" w:rsidP="003E5E6A">
      <w:pPr>
        <w:pStyle w:val="Retraitcorpsdetexte"/>
        <w:spacing w:after="0"/>
        <w:ind w:left="0" w:right="-2"/>
      </w:pPr>
      <w:r>
        <w:t>Approuvé à l’unanimité.</w:t>
      </w:r>
    </w:p>
    <w:p w14:paraId="6EB79ED2" w14:textId="1554BECD" w:rsidR="00D24054" w:rsidRDefault="00D24054" w:rsidP="003E5E6A">
      <w:pPr>
        <w:pStyle w:val="Retraitcorpsdetexte"/>
        <w:spacing w:after="0"/>
        <w:ind w:left="0" w:right="-2"/>
      </w:pPr>
    </w:p>
    <w:p w14:paraId="7D634C0D" w14:textId="60738628" w:rsidR="00D24054" w:rsidRPr="00DC2FC4" w:rsidRDefault="00D24054" w:rsidP="00D24054">
      <w:pPr>
        <w:shd w:val="clear" w:color="auto" w:fill="8DB3E2" w:themeFill="text2" w:themeFillTint="66"/>
        <w:ind w:right="-2"/>
        <w:rPr>
          <w:b/>
          <w:smallCaps/>
        </w:rPr>
      </w:pPr>
      <w:r w:rsidRPr="00DC2FC4">
        <w:rPr>
          <w:b/>
          <w:smallCaps/>
        </w:rPr>
        <w:t>Budget primitif 202</w:t>
      </w:r>
      <w:r>
        <w:rPr>
          <w:b/>
          <w:smallCaps/>
        </w:rPr>
        <w:t>2</w:t>
      </w:r>
    </w:p>
    <w:p w14:paraId="65697E70" w14:textId="77777777" w:rsidR="00D24054" w:rsidRDefault="00D24054" w:rsidP="00D24054">
      <w:pPr>
        <w:ind w:right="-2"/>
        <w:jc w:val="both"/>
        <w:rPr>
          <w:sz w:val="12"/>
          <w:szCs w:val="12"/>
        </w:rPr>
      </w:pPr>
    </w:p>
    <w:p w14:paraId="1B24884C" w14:textId="406E4517" w:rsidR="00D24054" w:rsidRPr="00D10C9C" w:rsidRDefault="00D24054" w:rsidP="00D24054">
      <w:pPr>
        <w:spacing w:after="120"/>
        <w:ind w:right="-2"/>
        <w:jc w:val="both"/>
      </w:pPr>
      <w:r w:rsidRPr="00D10C9C">
        <w:t xml:space="preserve">Le conseil municipal vote à l’unanimité </w:t>
      </w:r>
      <w:r>
        <w:t>le</w:t>
      </w:r>
      <w:r w:rsidRPr="00D10C9C">
        <w:t xml:space="preserve"> budget primitif 2</w:t>
      </w:r>
      <w:r>
        <w:t>022</w:t>
      </w:r>
      <w:r w:rsidRPr="00D10C9C">
        <w:t xml:space="preserve">, </w:t>
      </w:r>
      <w:r>
        <w:t xml:space="preserve">dont la balance générale se présente ainsi </w:t>
      </w:r>
      <w:r w:rsidRPr="00D10C9C">
        <w:t>:</w:t>
      </w:r>
    </w:p>
    <w:tbl>
      <w:tblPr>
        <w:tblStyle w:val="Grilledutableau"/>
        <w:tblW w:w="9243" w:type="dxa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438"/>
        <w:gridCol w:w="2977"/>
      </w:tblGrid>
      <w:tr w:rsidR="00D24054" w:rsidRPr="00D151BB" w14:paraId="65E0AA5D" w14:textId="77777777" w:rsidTr="00DA5927"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14:paraId="638D9DE1" w14:textId="77777777" w:rsidR="00D24054" w:rsidRPr="00D151BB" w:rsidRDefault="00D24054" w:rsidP="00DA5927">
            <w:pPr>
              <w:ind w:right="-2"/>
              <w:jc w:val="both"/>
              <w:rPr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AB83" w14:textId="77777777" w:rsidR="00D24054" w:rsidRPr="00D151BB" w:rsidRDefault="00D24054" w:rsidP="00DA5927">
            <w:pPr>
              <w:ind w:right="-2"/>
              <w:jc w:val="center"/>
              <w:rPr>
                <w:szCs w:val="20"/>
              </w:rPr>
            </w:pPr>
            <w:r w:rsidRPr="00D151BB">
              <w:rPr>
                <w:szCs w:val="20"/>
              </w:rPr>
              <w:t>Dépenses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9436" w14:textId="77777777" w:rsidR="00D24054" w:rsidRPr="00D151BB" w:rsidRDefault="00D24054" w:rsidP="00DA5927">
            <w:pPr>
              <w:ind w:right="-2"/>
              <w:jc w:val="center"/>
              <w:rPr>
                <w:szCs w:val="20"/>
              </w:rPr>
            </w:pPr>
            <w:r w:rsidRPr="00D151BB">
              <w:rPr>
                <w:szCs w:val="20"/>
              </w:rPr>
              <w:t>Recettes</w:t>
            </w:r>
          </w:p>
        </w:tc>
      </w:tr>
      <w:tr w:rsidR="00D24054" w:rsidRPr="00D151BB" w14:paraId="41F0E37A" w14:textId="77777777" w:rsidTr="00DA592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E50" w14:textId="77777777" w:rsidR="00D24054" w:rsidRPr="00D151BB" w:rsidRDefault="00D24054" w:rsidP="00D24054">
            <w:pPr>
              <w:ind w:right="-2"/>
              <w:jc w:val="both"/>
              <w:rPr>
                <w:szCs w:val="20"/>
              </w:rPr>
            </w:pPr>
            <w:bookmarkStart w:id="2" w:name="_Hlk99441878"/>
            <w:r>
              <w:rPr>
                <w:szCs w:val="20"/>
              </w:rPr>
              <w:t>S</w:t>
            </w:r>
            <w:r w:rsidRPr="00D151BB">
              <w:rPr>
                <w:szCs w:val="20"/>
              </w:rPr>
              <w:t>ection de Fonctionnement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2EEC" w14:textId="7F9CB71D" w:rsidR="00D24054" w:rsidRPr="00D151BB" w:rsidRDefault="00D24054" w:rsidP="00D24054">
            <w:pPr>
              <w:ind w:right="-2"/>
              <w:jc w:val="center"/>
              <w:rPr>
                <w:szCs w:val="20"/>
              </w:rPr>
            </w:pPr>
            <w:r>
              <w:rPr>
                <w:szCs w:val="20"/>
              </w:rPr>
              <w:t>409 736.23 €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D0F4" w14:textId="293EB0D6" w:rsidR="00D24054" w:rsidRPr="00D151BB" w:rsidRDefault="00D24054" w:rsidP="00D24054">
            <w:pPr>
              <w:ind w:right="-2"/>
              <w:jc w:val="center"/>
              <w:rPr>
                <w:szCs w:val="20"/>
              </w:rPr>
            </w:pPr>
            <w:r>
              <w:rPr>
                <w:szCs w:val="20"/>
              </w:rPr>
              <w:t>409 736.23 €</w:t>
            </w:r>
          </w:p>
        </w:tc>
      </w:tr>
      <w:bookmarkEnd w:id="2"/>
      <w:tr w:rsidR="00D24054" w:rsidRPr="00D151BB" w14:paraId="0CD603D6" w14:textId="77777777" w:rsidTr="00DA592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9A0F" w14:textId="77777777" w:rsidR="00D24054" w:rsidRPr="00D151BB" w:rsidRDefault="00D24054" w:rsidP="00D24054">
            <w:pPr>
              <w:ind w:right="-2"/>
              <w:jc w:val="both"/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D151BB">
              <w:rPr>
                <w:szCs w:val="20"/>
              </w:rPr>
              <w:t>ection d’Investissement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A05" w14:textId="533EC88E" w:rsidR="00D24054" w:rsidRPr="00D151BB" w:rsidRDefault="00D24054" w:rsidP="00D24054">
            <w:pPr>
              <w:ind w:right="-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    375 944.28 €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09C1" w14:textId="1FB5FE88" w:rsidR="00D24054" w:rsidRPr="00D151BB" w:rsidRDefault="00D24054" w:rsidP="00D24054">
            <w:pPr>
              <w:ind w:right="-2"/>
              <w:jc w:val="center"/>
              <w:rPr>
                <w:szCs w:val="20"/>
              </w:rPr>
            </w:pPr>
            <w:r>
              <w:rPr>
                <w:szCs w:val="20"/>
              </w:rPr>
              <w:t>375 944.28 €</w:t>
            </w:r>
          </w:p>
        </w:tc>
      </w:tr>
    </w:tbl>
    <w:p w14:paraId="6F287026" w14:textId="77777777" w:rsidR="00D24054" w:rsidRDefault="00D24054" w:rsidP="003E5E6A">
      <w:pPr>
        <w:pStyle w:val="Retraitcorpsdetexte"/>
        <w:spacing w:after="0"/>
        <w:ind w:left="0" w:right="-2"/>
      </w:pPr>
    </w:p>
    <w:p w14:paraId="7E97C89D" w14:textId="77777777" w:rsidR="000B7E32" w:rsidRDefault="000B7E32" w:rsidP="00560B19">
      <w:pPr>
        <w:tabs>
          <w:tab w:val="left" w:pos="1985"/>
        </w:tabs>
        <w:jc w:val="both"/>
        <w:rPr>
          <w:snapToGrid w:val="0"/>
        </w:rPr>
      </w:pPr>
    </w:p>
    <w:bookmarkEnd w:id="1"/>
    <w:p w14:paraId="008933F6" w14:textId="7D650F06" w:rsidR="00560B19" w:rsidRPr="0010083B" w:rsidRDefault="00CC0B46" w:rsidP="00286FDE">
      <w:pPr>
        <w:shd w:val="clear" w:color="auto" w:fill="8DB3E2" w:themeFill="text2" w:themeFillTint="66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location chasse</w:t>
      </w:r>
    </w:p>
    <w:p w14:paraId="65A8B935" w14:textId="77777777" w:rsidR="00427B07" w:rsidRDefault="00427B07" w:rsidP="00A42E70">
      <w:pPr>
        <w:ind w:right="17"/>
        <w:jc w:val="both"/>
      </w:pPr>
    </w:p>
    <w:p w14:paraId="6ECEF58D" w14:textId="66944972" w:rsidR="00713355" w:rsidRDefault="00B307FD" w:rsidP="00A42E70">
      <w:pPr>
        <w:ind w:right="17"/>
        <w:jc w:val="both"/>
      </w:pPr>
      <w:r>
        <w:t xml:space="preserve">Le maire </w:t>
      </w:r>
      <w:r w:rsidR="006F4794">
        <w:t>propose au</w:t>
      </w:r>
      <w:r w:rsidR="00A42E70">
        <w:t xml:space="preserve"> conseil municipal</w:t>
      </w:r>
      <w:r>
        <w:t xml:space="preserve"> </w:t>
      </w:r>
      <w:r w:rsidR="006F4794">
        <w:t xml:space="preserve">de réexaminer </w:t>
      </w:r>
      <w:r w:rsidR="00CC0B46">
        <w:t>la convention de location de la chasse conclue pour 6 ans et arrivant à échéance le 31 août 2022.</w:t>
      </w:r>
    </w:p>
    <w:p w14:paraId="61D77841" w14:textId="178510B0" w:rsidR="006D2DD3" w:rsidRDefault="00713355" w:rsidP="00A42E70">
      <w:pPr>
        <w:ind w:right="17"/>
        <w:jc w:val="both"/>
      </w:pPr>
      <w:r>
        <w:t xml:space="preserve">Le conseil municipal </w:t>
      </w:r>
      <w:r w:rsidR="00304B2E">
        <w:t>décide par 5</w:t>
      </w:r>
      <w:r>
        <w:t xml:space="preserve"> voix pour</w:t>
      </w:r>
      <w:r w:rsidR="00304B2E">
        <w:t xml:space="preserve"> fixer la location à 300 €</w:t>
      </w:r>
      <w:r>
        <w:t xml:space="preserve">, 4 voix </w:t>
      </w:r>
      <w:r w:rsidR="00304B2E">
        <w:t xml:space="preserve">pour maintenir l’ancien tarif,        1 voix pour la passer à 500 € </w:t>
      </w:r>
      <w:r>
        <w:t>et 1 abstention</w:t>
      </w:r>
      <w:r w:rsidR="00D17C76">
        <w:t>.</w:t>
      </w:r>
    </w:p>
    <w:p w14:paraId="625B0C6E" w14:textId="77777777" w:rsidR="00304B2E" w:rsidRDefault="00304B2E" w:rsidP="00A42E70">
      <w:pPr>
        <w:ind w:right="17"/>
        <w:jc w:val="both"/>
      </w:pPr>
    </w:p>
    <w:p w14:paraId="55853C42" w14:textId="77777777" w:rsidR="00304B2E" w:rsidRDefault="00304B2E" w:rsidP="00A42E70">
      <w:pPr>
        <w:ind w:right="17"/>
        <w:jc w:val="both"/>
      </w:pPr>
    </w:p>
    <w:p w14:paraId="73358EB6" w14:textId="77777777" w:rsidR="00427B07" w:rsidRDefault="00427B07" w:rsidP="00A42E70">
      <w:pPr>
        <w:ind w:right="17"/>
        <w:jc w:val="both"/>
      </w:pPr>
    </w:p>
    <w:p w14:paraId="2C5ED7E4" w14:textId="7E88AEA9" w:rsidR="00393DE5" w:rsidRPr="0010083B" w:rsidRDefault="00713355" w:rsidP="00393DE5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>frais de déplacement des agents</w:t>
      </w:r>
    </w:p>
    <w:p w14:paraId="4D8D11A8" w14:textId="77777777" w:rsidR="00393DE5" w:rsidRPr="005B582C" w:rsidRDefault="00393DE5" w:rsidP="00393DE5">
      <w:pPr>
        <w:tabs>
          <w:tab w:val="left" w:pos="1985"/>
        </w:tabs>
        <w:jc w:val="both"/>
      </w:pPr>
    </w:p>
    <w:p w14:paraId="54294F95" w14:textId="0AE5A624" w:rsidR="00393DE5" w:rsidRDefault="00304B2E" w:rsidP="00393DE5">
      <w:pPr>
        <w:tabs>
          <w:tab w:val="left" w:pos="1985"/>
        </w:tabs>
        <w:jc w:val="both"/>
        <w:rPr>
          <w:rStyle w:val="Policepardfaut1"/>
          <w:sz w:val="22"/>
          <w:szCs w:val="22"/>
        </w:rPr>
      </w:pPr>
      <w:r>
        <w:rPr>
          <w:rStyle w:val="Policepardfaut1"/>
          <w:sz w:val="22"/>
          <w:szCs w:val="22"/>
        </w:rPr>
        <w:t>Les</w:t>
      </w:r>
      <w:r w:rsidR="005B582C" w:rsidRPr="005B582C">
        <w:rPr>
          <w:rStyle w:val="Policepardfaut1"/>
          <w:sz w:val="22"/>
          <w:szCs w:val="22"/>
        </w:rPr>
        <w:t xml:space="preserve"> frais de déplacements des agents de la collectivité pour formations </w:t>
      </w:r>
      <w:r>
        <w:rPr>
          <w:rStyle w:val="Policepardfaut1"/>
          <w:sz w:val="22"/>
          <w:szCs w:val="22"/>
        </w:rPr>
        <w:t>et</w:t>
      </w:r>
      <w:r w:rsidR="005B582C" w:rsidRPr="005B582C">
        <w:rPr>
          <w:rStyle w:val="Policepardfaut1"/>
          <w:sz w:val="22"/>
          <w:szCs w:val="22"/>
        </w:rPr>
        <w:t xml:space="preserve"> pour les besoins du service </w:t>
      </w:r>
      <w:r>
        <w:rPr>
          <w:rStyle w:val="Policepardfaut1"/>
          <w:sz w:val="22"/>
          <w:szCs w:val="22"/>
        </w:rPr>
        <w:t>sont</w:t>
      </w:r>
      <w:r w:rsidR="005B582C">
        <w:rPr>
          <w:rStyle w:val="Policepardfaut1"/>
          <w:sz w:val="22"/>
          <w:szCs w:val="22"/>
        </w:rPr>
        <w:t xml:space="preserve"> pris en charge par la commune</w:t>
      </w:r>
      <w:r>
        <w:rPr>
          <w:rStyle w:val="Policepardfaut1"/>
          <w:sz w:val="22"/>
          <w:szCs w:val="22"/>
        </w:rPr>
        <w:t xml:space="preserve">. </w:t>
      </w:r>
      <w:r w:rsidR="005B582C">
        <w:rPr>
          <w:rStyle w:val="Policepardfaut1"/>
          <w:sz w:val="22"/>
          <w:szCs w:val="22"/>
        </w:rPr>
        <w:t xml:space="preserve"> </w:t>
      </w:r>
      <w:r>
        <w:rPr>
          <w:rStyle w:val="Policepardfaut1"/>
          <w:sz w:val="22"/>
          <w:szCs w:val="22"/>
        </w:rPr>
        <w:t>U</w:t>
      </w:r>
      <w:r w:rsidR="005B582C">
        <w:rPr>
          <w:rStyle w:val="Policepardfaut1"/>
          <w:sz w:val="22"/>
          <w:szCs w:val="22"/>
        </w:rPr>
        <w:t>ne nouvelle</w:t>
      </w:r>
      <w:r w:rsidR="00972F64">
        <w:rPr>
          <w:rStyle w:val="Policepardfaut1"/>
          <w:sz w:val="22"/>
          <w:szCs w:val="22"/>
        </w:rPr>
        <w:t xml:space="preserve"> </w:t>
      </w:r>
      <w:r w:rsidR="005B582C">
        <w:rPr>
          <w:rStyle w:val="Policepardfaut1"/>
          <w:sz w:val="22"/>
          <w:szCs w:val="22"/>
        </w:rPr>
        <w:t xml:space="preserve">délibération est </w:t>
      </w:r>
      <w:r w:rsidR="00972F64">
        <w:rPr>
          <w:rStyle w:val="Policepardfaut1"/>
          <w:sz w:val="22"/>
          <w:szCs w:val="22"/>
        </w:rPr>
        <w:t xml:space="preserve">nécessaire </w:t>
      </w:r>
      <w:r w:rsidR="005B582C">
        <w:rPr>
          <w:rStyle w:val="Policepardfaut1"/>
          <w:sz w:val="22"/>
          <w:szCs w:val="22"/>
        </w:rPr>
        <w:t xml:space="preserve"> pour réévaluer les montants suivant </w:t>
      </w:r>
      <w:r w:rsidR="004642F8">
        <w:rPr>
          <w:rStyle w:val="Policepardfaut1"/>
          <w:sz w:val="22"/>
          <w:szCs w:val="22"/>
        </w:rPr>
        <w:t xml:space="preserve">l’évolution des </w:t>
      </w:r>
      <w:r w:rsidR="00972F64">
        <w:rPr>
          <w:rStyle w:val="Policepardfaut1"/>
          <w:sz w:val="22"/>
          <w:szCs w:val="22"/>
        </w:rPr>
        <w:t>taux définis par arrêté ministériel</w:t>
      </w:r>
      <w:r w:rsidR="004642F8">
        <w:rPr>
          <w:rStyle w:val="Policepardfaut1"/>
          <w:sz w:val="22"/>
          <w:szCs w:val="22"/>
        </w:rPr>
        <w:t>.</w:t>
      </w:r>
    </w:p>
    <w:p w14:paraId="33F3A9FC" w14:textId="2723661B" w:rsidR="004642F8" w:rsidRPr="005B582C" w:rsidRDefault="004642F8" w:rsidP="00393DE5">
      <w:pPr>
        <w:tabs>
          <w:tab w:val="left" w:pos="1985"/>
        </w:tabs>
        <w:jc w:val="both"/>
      </w:pPr>
      <w:r>
        <w:rPr>
          <w:rStyle w:val="Policepardfaut1"/>
          <w:sz w:val="22"/>
          <w:szCs w:val="22"/>
        </w:rPr>
        <w:t>Le conseil municipal accepte à l’unanimité</w:t>
      </w:r>
      <w:r w:rsidR="00972F64">
        <w:rPr>
          <w:rStyle w:val="Policepardfaut1"/>
          <w:sz w:val="22"/>
          <w:szCs w:val="22"/>
        </w:rPr>
        <w:t>.</w:t>
      </w:r>
    </w:p>
    <w:p w14:paraId="1DA28FA5" w14:textId="77777777" w:rsidR="007D0200" w:rsidRDefault="007D0200" w:rsidP="00393DE5">
      <w:pPr>
        <w:tabs>
          <w:tab w:val="left" w:pos="1985"/>
        </w:tabs>
        <w:jc w:val="both"/>
      </w:pPr>
    </w:p>
    <w:p w14:paraId="68CED703" w14:textId="40B5472C" w:rsidR="007D0200" w:rsidRPr="00FE23D8" w:rsidRDefault="004642F8" w:rsidP="007D0200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bookmarkStart w:id="3" w:name="_Hlk99444296"/>
      <w:r>
        <w:rPr>
          <w:b/>
          <w:smallCaps/>
          <w:sz w:val="28"/>
          <w:szCs w:val="28"/>
        </w:rPr>
        <w:t xml:space="preserve">Participation au </w:t>
      </w:r>
      <w:r w:rsidR="002D1FA8">
        <w:rPr>
          <w:b/>
          <w:smallCaps/>
          <w:sz w:val="28"/>
          <w:szCs w:val="28"/>
        </w:rPr>
        <w:t>périscolaire</w:t>
      </w:r>
      <w:r>
        <w:rPr>
          <w:b/>
          <w:smallCaps/>
          <w:sz w:val="28"/>
          <w:szCs w:val="28"/>
        </w:rPr>
        <w:t xml:space="preserve"> de saint </w:t>
      </w:r>
      <w:proofErr w:type="spellStart"/>
      <w:r>
        <w:rPr>
          <w:b/>
          <w:smallCaps/>
          <w:sz w:val="28"/>
          <w:szCs w:val="28"/>
        </w:rPr>
        <w:t>hippolyte</w:t>
      </w:r>
      <w:proofErr w:type="spellEnd"/>
    </w:p>
    <w:p w14:paraId="09C604C3" w14:textId="5D023C4C" w:rsidR="007D0200" w:rsidRDefault="007D0200" w:rsidP="007D0200">
      <w:pPr>
        <w:tabs>
          <w:tab w:val="left" w:pos="1985"/>
        </w:tabs>
        <w:jc w:val="both"/>
      </w:pPr>
    </w:p>
    <w:p w14:paraId="3807A4BA" w14:textId="7D80FF5D" w:rsidR="007D0200" w:rsidRDefault="00972F64" w:rsidP="007D0200">
      <w:pPr>
        <w:tabs>
          <w:tab w:val="left" w:pos="1985"/>
        </w:tabs>
        <w:jc w:val="both"/>
      </w:pPr>
      <w:r>
        <w:t>Le conseil municipal confirme, à l’unanimité, l</w:t>
      </w:r>
      <w:proofErr w:type="spellStart"/>
      <w:r>
        <w:t>a</w:t>
      </w:r>
      <w:proofErr w:type="spellEnd"/>
      <w:r>
        <w:t xml:space="preserve"> participation financière de la commune</w:t>
      </w:r>
      <w:r w:rsidR="004642F8">
        <w:t xml:space="preserve"> au</w:t>
      </w:r>
      <w:r>
        <w:t xml:space="preserve">x dépenses de </w:t>
      </w:r>
      <w:r w:rsidR="004642F8">
        <w:t xml:space="preserve"> </w:t>
      </w:r>
      <w:r w:rsidR="00A270C3">
        <w:t xml:space="preserve">fonctionnement du </w:t>
      </w:r>
      <w:r w:rsidR="004642F8">
        <w:t>périscolaire de</w:t>
      </w:r>
      <w:r>
        <w:t xml:space="preserve"> la commune de</w:t>
      </w:r>
      <w:r w:rsidR="004642F8">
        <w:t xml:space="preserve"> Saint-</w:t>
      </w:r>
      <w:r w:rsidR="002D1FA8">
        <w:t xml:space="preserve">Hippolyte </w:t>
      </w:r>
      <w:r>
        <w:t>à raison de</w:t>
      </w:r>
      <w:r w:rsidR="002D1FA8">
        <w:t xml:space="preserve"> 150 €</w:t>
      </w:r>
      <w:r>
        <w:t xml:space="preserve"> par </w:t>
      </w:r>
      <w:r w:rsidR="002D1FA8">
        <w:t>enfant.</w:t>
      </w:r>
    </w:p>
    <w:bookmarkEnd w:id="3"/>
    <w:p w14:paraId="000458A9" w14:textId="0A2984DE" w:rsidR="00393DE5" w:rsidRDefault="00393DE5" w:rsidP="00393DE5">
      <w:pPr>
        <w:tabs>
          <w:tab w:val="left" w:pos="1985"/>
        </w:tabs>
        <w:jc w:val="both"/>
      </w:pPr>
    </w:p>
    <w:p w14:paraId="2A89A3F8" w14:textId="74EE7663" w:rsidR="005D35D1" w:rsidRPr="00FE23D8" w:rsidRDefault="005D35D1" w:rsidP="005D35D1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Voirie communale</w:t>
      </w:r>
    </w:p>
    <w:p w14:paraId="7D6438E8" w14:textId="77777777" w:rsidR="005D35D1" w:rsidRDefault="005D35D1" w:rsidP="005D35D1">
      <w:pPr>
        <w:tabs>
          <w:tab w:val="left" w:pos="1985"/>
        </w:tabs>
        <w:jc w:val="both"/>
      </w:pPr>
    </w:p>
    <w:p w14:paraId="4AED1A8E" w14:textId="2FD2CE13" w:rsidR="005D35D1" w:rsidRDefault="005D35D1" w:rsidP="005D35D1">
      <w:pPr>
        <w:tabs>
          <w:tab w:val="left" w:pos="1985"/>
        </w:tabs>
        <w:jc w:val="both"/>
      </w:pPr>
      <w:r>
        <w:t xml:space="preserve">La commission </w:t>
      </w:r>
      <w:r w:rsidR="002B3A3B">
        <w:t xml:space="preserve">voirie </w:t>
      </w:r>
      <w:r>
        <w:t xml:space="preserve">se réunira pour étudier </w:t>
      </w:r>
      <w:r w:rsidR="00B9104F">
        <w:t>les devis</w:t>
      </w:r>
      <w:r>
        <w:t xml:space="preserve"> reçus </w:t>
      </w:r>
    </w:p>
    <w:p w14:paraId="75DAFCE8" w14:textId="77777777" w:rsidR="005D35D1" w:rsidRDefault="005D35D1" w:rsidP="00393DE5">
      <w:pPr>
        <w:tabs>
          <w:tab w:val="left" w:pos="1985"/>
        </w:tabs>
        <w:jc w:val="both"/>
      </w:pPr>
    </w:p>
    <w:p w14:paraId="55AF3842" w14:textId="77777777" w:rsidR="007D0200" w:rsidRDefault="007D0200" w:rsidP="00393DE5">
      <w:pPr>
        <w:tabs>
          <w:tab w:val="left" w:pos="1985"/>
        </w:tabs>
        <w:jc w:val="both"/>
      </w:pPr>
    </w:p>
    <w:p w14:paraId="2794ABC4" w14:textId="4D4E1EB1" w:rsidR="001869C4" w:rsidRPr="0010083B" w:rsidRDefault="001869C4" w:rsidP="00BB0881">
      <w:pPr>
        <w:shd w:val="clear" w:color="auto" w:fill="8DB3E2" w:themeFill="text2" w:themeFillTint="66"/>
        <w:ind w:right="-2"/>
        <w:jc w:val="center"/>
        <w:rPr>
          <w:b/>
          <w:smallCaps/>
          <w:sz w:val="28"/>
          <w:szCs w:val="28"/>
        </w:rPr>
      </w:pPr>
      <w:bookmarkStart w:id="4" w:name="_Hlk95812760"/>
      <w:r w:rsidRPr="0010083B">
        <w:rPr>
          <w:b/>
          <w:smallCaps/>
          <w:sz w:val="28"/>
          <w:szCs w:val="28"/>
        </w:rPr>
        <w:t>QUESTION</w:t>
      </w:r>
      <w:r w:rsidR="000F4183" w:rsidRPr="0010083B">
        <w:rPr>
          <w:b/>
          <w:smallCaps/>
          <w:sz w:val="28"/>
          <w:szCs w:val="28"/>
        </w:rPr>
        <w:t>S</w:t>
      </w:r>
      <w:r w:rsidRPr="0010083B">
        <w:rPr>
          <w:b/>
          <w:smallCaps/>
          <w:sz w:val="28"/>
          <w:szCs w:val="28"/>
        </w:rPr>
        <w:t xml:space="preserve"> DIVERS</w:t>
      </w:r>
      <w:r w:rsidR="000F4183" w:rsidRPr="0010083B">
        <w:rPr>
          <w:b/>
          <w:smallCaps/>
          <w:sz w:val="28"/>
          <w:szCs w:val="28"/>
        </w:rPr>
        <w:t>ES</w:t>
      </w:r>
    </w:p>
    <w:p w14:paraId="07F6CBEC" w14:textId="77777777" w:rsidR="00EA4C5A" w:rsidRPr="00EA4C5A" w:rsidRDefault="00EA4C5A" w:rsidP="00EA4C5A">
      <w:pPr>
        <w:jc w:val="both"/>
      </w:pPr>
      <w:bookmarkStart w:id="5" w:name="_Hlk71017369"/>
      <w:bookmarkEnd w:id="4"/>
    </w:p>
    <w:p w14:paraId="03B074BC" w14:textId="642E6416" w:rsidR="00D00FE9" w:rsidRDefault="00AC0A64" w:rsidP="00286FDE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Actualités CCPM</w:t>
      </w:r>
    </w:p>
    <w:p w14:paraId="62C288D1" w14:textId="3637FC26" w:rsidR="002D1FA8" w:rsidRDefault="002D1FA8" w:rsidP="002D1FA8">
      <w:pPr>
        <w:pStyle w:val="Paragraphedeliste"/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Tous les budgets sont positifs</w:t>
      </w:r>
    </w:p>
    <w:p w14:paraId="1CD110AE" w14:textId="7D2DCC67" w:rsidR="002D1FA8" w:rsidRDefault="002D1FA8" w:rsidP="002D1FA8">
      <w:pPr>
        <w:pStyle w:val="Paragraphedeliste"/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Prix de l’eau maintenu</w:t>
      </w:r>
    </w:p>
    <w:p w14:paraId="610787A6" w14:textId="676FF3DA" w:rsidR="002D1FA8" w:rsidRDefault="002D1FA8" w:rsidP="002D1FA8">
      <w:pPr>
        <w:pStyle w:val="Paragraphedeliste"/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Etude de forage sur </w:t>
      </w:r>
      <w:proofErr w:type="spellStart"/>
      <w:r>
        <w:rPr>
          <w:rFonts w:ascii="Times New Roman" w:hAnsi="Times New Roman"/>
          <w:sz w:val="24"/>
          <w:szCs w:val="24"/>
        </w:rPr>
        <w:t>Fleurey</w:t>
      </w:r>
      <w:proofErr w:type="spellEnd"/>
      <w:r>
        <w:rPr>
          <w:rFonts w:ascii="Times New Roman" w:hAnsi="Times New Roman"/>
          <w:sz w:val="24"/>
          <w:szCs w:val="24"/>
        </w:rPr>
        <w:t xml:space="preserve"> et Les Terres de Chaux</w:t>
      </w:r>
    </w:p>
    <w:p w14:paraId="4CEAF1DF" w14:textId="5AF19DD8" w:rsidR="002D1FA8" w:rsidRDefault="002D1FA8" w:rsidP="002D1FA8">
      <w:pPr>
        <w:pStyle w:val="Paragraphedeliste"/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Service </w:t>
      </w:r>
      <w:proofErr w:type="spellStart"/>
      <w:r>
        <w:rPr>
          <w:rFonts w:ascii="Times New Roman" w:hAnsi="Times New Roman"/>
          <w:sz w:val="24"/>
          <w:szCs w:val="24"/>
        </w:rPr>
        <w:t>Rébon</w:t>
      </w:r>
      <w:proofErr w:type="spellEnd"/>
      <w:r>
        <w:rPr>
          <w:rFonts w:ascii="Times New Roman" w:hAnsi="Times New Roman"/>
          <w:sz w:val="24"/>
          <w:szCs w:val="24"/>
        </w:rPr>
        <w:t>, aide les personnes en réinsertion</w:t>
      </w:r>
    </w:p>
    <w:p w14:paraId="02414462" w14:textId="2AAAA66D" w:rsidR="002D1FA8" w:rsidRDefault="002D1FA8" w:rsidP="002D1FA8">
      <w:pPr>
        <w:pStyle w:val="Paragraphedeliste"/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Création du service</w:t>
      </w:r>
      <w:r w:rsidR="002A5056">
        <w:rPr>
          <w:rFonts w:ascii="Times New Roman" w:hAnsi="Times New Roman"/>
          <w:sz w:val="24"/>
          <w:szCs w:val="24"/>
        </w:rPr>
        <w:t xml:space="preserve"> transport à la demande</w:t>
      </w:r>
    </w:p>
    <w:p w14:paraId="6FBF6BFA" w14:textId="619F6E05" w:rsidR="002B47A8" w:rsidRDefault="002B47A8" w:rsidP="002D1FA8">
      <w:pPr>
        <w:pStyle w:val="Paragraphedeliste"/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Mise en place d’une application </w:t>
      </w:r>
      <w:r w:rsidR="002B3A3B">
        <w:rPr>
          <w:rFonts w:ascii="Times New Roman" w:hAnsi="Times New Roman"/>
          <w:sz w:val="24"/>
          <w:szCs w:val="24"/>
        </w:rPr>
        <w:t>intra-muros</w:t>
      </w:r>
    </w:p>
    <w:p w14:paraId="6848F0D7" w14:textId="4736DF28" w:rsidR="00545E89" w:rsidRDefault="002A5056" w:rsidP="00545E89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L’AMF met en garde les communes sur la société VALOCIM qui propose le rachat du bail de location </w:t>
      </w:r>
      <w:r w:rsidR="00972F64">
        <w:rPr>
          <w:rFonts w:ascii="Times New Roman" w:hAnsi="Times New Roman"/>
          <w:sz w:val="24"/>
          <w:szCs w:val="24"/>
        </w:rPr>
        <w:t>des terrains</w:t>
      </w:r>
      <w:r w:rsidR="002B3A3B">
        <w:rPr>
          <w:rFonts w:ascii="Times New Roman" w:hAnsi="Times New Roman"/>
          <w:sz w:val="24"/>
          <w:szCs w:val="24"/>
        </w:rPr>
        <w:t xml:space="preserve"> où sont implantés les antennes de réseaux téléphoniques</w:t>
      </w:r>
      <w:r>
        <w:rPr>
          <w:rFonts w:ascii="Times New Roman" w:hAnsi="Times New Roman"/>
          <w:sz w:val="24"/>
          <w:szCs w:val="24"/>
        </w:rPr>
        <w:t>.</w:t>
      </w:r>
    </w:p>
    <w:p w14:paraId="1304EDF9" w14:textId="43420391" w:rsidR="002A5056" w:rsidRDefault="002A5056" w:rsidP="00545E89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route de Valoreille est fermée pour travaux</w:t>
      </w:r>
      <w:r w:rsidR="002B3A3B">
        <w:rPr>
          <w:rFonts w:ascii="Times New Roman" w:hAnsi="Times New Roman"/>
          <w:sz w:val="24"/>
          <w:szCs w:val="24"/>
        </w:rPr>
        <w:t xml:space="preserve"> jusqu’au 15 avril</w:t>
      </w:r>
    </w:p>
    <w:p w14:paraId="2E2A4286" w14:textId="181E1FD7" w:rsidR="002B47A8" w:rsidRDefault="002B47A8" w:rsidP="00545E89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6" w:name="_Hlk99444170"/>
      <w:r>
        <w:rPr>
          <w:rFonts w:ascii="Times New Roman" w:hAnsi="Times New Roman"/>
          <w:sz w:val="24"/>
          <w:szCs w:val="24"/>
        </w:rPr>
        <w:t>Elections présidentielles les 10 et 24 avril 2022, tour de garde</w:t>
      </w:r>
    </w:p>
    <w:bookmarkEnd w:id="6"/>
    <w:p w14:paraId="56B82E95" w14:textId="7AA9F503" w:rsidR="002B47A8" w:rsidRDefault="002B47A8" w:rsidP="00545E89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Changement des horaires du secrétariat de mairie </w:t>
      </w:r>
    </w:p>
    <w:p w14:paraId="65295F4F" w14:textId="21C2DFEA" w:rsidR="002B47A8" w:rsidRDefault="002B47A8" w:rsidP="002B47A8">
      <w:pPr>
        <w:pStyle w:val="Paragraphedeliste"/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Mardi de 8h00 à 12h00</w:t>
      </w:r>
    </w:p>
    <w:p w14:paraId="4C14C8E8" w14:textId="31F9EC25" w:rsidR="002B47A8" w:rsidRDefault="002B47A8" w:rsidP="002B47A8">
      <w:pPr>
        <w:pStyle w:val="Paragraphedeliste"/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Jeudi de 8h00 à 16h30</w:t>
      </w:r>
    </w:p>
    <w:p w14:paraId="068D2474" w14:textId="05A95791" w:rsidR="002B47A8" w:rsidRDefault="002B47A8" w:rsidP="002B47A8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Opération brioche</w:t>
      </w:r>
      <w:r w:rsidR="002B3A3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du 5 au 9 avril 2022</w:t>
      </w:r>
      <w:r w:rsidR="002B3A3B">
        <w:rPr>
          <w:rFonts w:ascii="Times New Roman" w:hAnsi="Times New Roman"/>
          <w:sz w:val="24"/>
          <w:szCs w:val="24"/>
        </w:rPr>
        <w:t xml:space="preserve"> par Mme BEURET Françoise</w:t>
      </w:r>
    </w:p>
    <w:p w14:paraId="7E174505" w14:textId="77777777" w:rsidR="005D35D1" w:rsidRDefault="005D35D1" w:rsidP="005D35D1">
      <w:pPr>
        <w:pStyle w:val="Paragraphedeliste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E50974" w14:textId="77777777" w:rsidR="002B47A8" w:rsidRPr="002B47A8" w:rsidRDefault="002B47A8" w:rsidP="002B47A8">
      <w:pPr>
        <w:jc w:val="both"/>
      </w:pPr>
    </w:p>
    <w:p w14:paraId="3497AE6F" w14:textId="77777777" w:rsidR="002B47A8" w:rsidRPr="002B47A8" w:rsidRDefault="002B47A8" w:rsidP="002B47A8">
      <w:pPr>
        <w:jc w:val="both"/>
      </w:pPr>
    </w:p>
    <w:p w14:paraId="7CE402CF" w14:textId="77663AEC" w:rsidR="00545E89" w:rsidRDefault="00545E89" w:rsidP="00AC0A64"/>
    <w:p w14:paraId="2A94AA58" w14:textId="65F4D6CF" w:rsidR="00FD64B5" w:rsidRPr="00545E89" w:rsidRDefault="00FD64B5" w:rsidP="0082208D">
      <w:pPr>
        <w:rPr>
          <w:b/>
          <w:bCs/>
          <w:sz w:val="56"/>
          <w:szCs w:val="56"/>
        </w:rPr>
      </w:pPr>
    </w:p>
    <w:bookmarkEnd w:id="5"/>
    <w:sectPr w:rsidR="00FD64B5" w:rsidRPr="00545E89" w:rsidSect="00782602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320E" w14:textId="77777777" w:rsidR="006424E8" w:rsidRDefault="006424E8" w:rsidP="005952FB">
      <w:r>
        <w:separator/>
      </w:r>
    </w:p>
  </w:endnote>
  <w:endnote w:type="continuationSeparator" w:id="0">
    <w:p w14:paraId="377C5FB4" w14:textId="77777777" w:rsidR="006424E8" w:rsidRDefault="006424E8" w:rsidP="005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81F" w14:textId="77777777" w:rsidR="006424E8" w:rsidRDefault="006424E8" w:rsidP="005952FB">
      <w:r>
        <w:separator/>
      </w:r>
    </w:p>
  </w:footnote>
  <w:footnote w:type="continuationSeparator" w:id="0">
    <w:p w14:paraId="1E4E0343" w14:textId="77777777" w:rsidR="006424E8" w:rsidRDefault="006424E8" w:rsidP="0059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7530"/>
      </v:shape>
    </w:pict>
  </w:numPicBullet>
  <w:abstractNum w:abstractNumId="0" w15:restartNumberingAfterBreak="0">
    <w:nsid w:val="028C5823"/>
    <w:multiLevelType w:val="singleLevel"/>
    <w:tmpl w:val="A718C94E"/>
    <w:lvl w:ilvl="0">
      <w:start w:val="13"/>
      <w:numFmt w:val="bullet"/>
      <w:lvlText w:val="-"/>
      <w:lvlJc w:val="left"/>
      <w:pPr>
        <w:tabs>
          <w:tab w:val="num" w:pos="315"/>
        </w:tabs>
        <w:ind w:left="315" w:hanging="360"/>
      </w:pPr>
      <w:rPr>
        <w:rFonts w:hint="default"/>
      </w:rPr>
    </w:lvl>
  </w:abstractNum>
  <w:abstractNum w:abstractNumId="1" w15:restartNumberingAfterBreak="0">
    <w:nsid w:val="07FD3880"/>
    <w:multiLevelType w:val="hybridMultilevel"/>
    <w:tmpl w:val="A53C86C6"/>
    <w:lvl w:ilvl="0" w:tplc="8E9A1A68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6BEC"/>
    <w:multiLevelType w:val="hybridMultilevel"/>
    <w:tmpl w:val="0CDCA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65C0"/>
    <w:multiLevelType w:val="hybridMultilevel"/>
    <w:tmpl w:val="6EA8A1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4266"/>
    <w:multiLevelType w:val="hybridMultilevel"/>
    <w:tmpl w:val="165C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3322A"/>
    <w:multiLevelType w:val="hybridMultilevel"/>
    <w:tmpl w:val="4C665078"/>
    <w:lvl w:ilvl="0" w:tplc="25C433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71978"/>
    <w:multiLevelType w:val="hybridMultilevel"/>
    <w:tmpl w:val="6CE0526C"/>
    <w:lvl w:ilvl="0" w:tplc="AFA005CA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D30270"/>
    <w:multiLevelType w:val="hybridMultilevel"/>
    <w:tmpl w:val="70AAACC2"/>
    <w:lvl w:ilvl="0" w:tplc="040C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BEC6FB1"/>
    <w:multiLevelType w:val="hybridMultilevel"/>
    <w:tmpl w:val="65AE49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92A6D"/>
    <w:multiLevelType w:val="hybridMultilevel"/>
    <w:tmpl w:val="A6D0EF18"/>
    <w:lvl w:ilvl="0" w:tplc="25C4332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34CDF"/>
    <w:multiLevelType w:val="hybridMultilevel"/>
    <w:tmpl w:val="87D0C5D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818D3"/>
    <w:multiLevelType w:val="hybridMultilevel"/>
    <w:tmpl w:val="905EC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C12A5"/>
    <w:multiLevelType w:val="hybridMultilevel"/>
    <w:tmpl w:val="9E00F006"/>
    <w:lvl w:ilvl="0" w:tplc="57D86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7C4"/>
    <w:multiLevelType w:val="hybridMultilevel"/>
    <w:tmpl w:val="7A404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F76CB"/>
    <w:multiLevelType w:val="hybridMultilevel"/>
    <w:tmpl w:val="27E2966C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2C625828"/>
    <w:multiLevelType w:val="hybridMultilevel"/>
    <w:tmpl w:val="BB8A14DC"/>
    <w:lvl w:ilvl="0" w:tplc="6D82860A">
      <w:start w:val="9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178795F"/>
    <w:multiLevelType w:val="hybridMultilevel"/>
    <w:tmpl w:val="A9F47604"/>
    <w:lvl w:ilvl="0" w:tplc="4E404C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548B1"/>
    <w:multiLevelType w:val="hybridMultilevel"/>
    <w:tmpl w:val="638C68FE"/>
    <w:lvl w:ilvl="0" w:tplc="05E47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320A4"/>
    <w:multiLevelType w:val="hybridMultilevel"/>
    <w:tmpl w:val="FD1CAA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14959"/>
    <w:multiLevelType w:val="hybridMultilevel"/>
    <w:tmpl w:val="25244D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04FFF"/>
    <w:multiLevelType w:val="hybridMultilevel"/>
    <w:tmpl w:val="3AC61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0117A"/>
    <w:multiLevelType w:val="hybridMultilevel"/>
    <w:tmpl w:val="72B4E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61089"/>
    <w:multiLevelType w:val="hybridMultilevel"/>
    <w:tmpl w:val="63425C6E"/>
    <w:lvl w:ilvl="0" w:tplc="9F8AD810">
      <w:start w:val="37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833FC9"/>
    <w:multiLevelType w:val="hybridMultilevel"/>
    <w:tmpl w:val="7996DDC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B5837"/>
    <w:multiLevelType w:val="hybridMultilevel"/>
    <w:tmpl w:val="BC72F02A"/>
    <w:lvl w:ilvl="0" w:tplc="51FCC42E">
      <w:start w:val="21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96462"/>
    <w:multiLevelType w:val="hybridMultilevel"/>
    <w:tmpl w:val="B48E4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5632"/>
    <w:multiLevelType w:val="hybridMultilevel"/>
    <w:tmpl w:val="50FA08EE"/>
    <w:lvl w:ilvl="0" w:tplc="244E4974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7" w15:restartNumberingAfterBreak="0">
    <w:nsid w:val="535F211E"/>
    <w:multiLevelType w:val="hybridMultilevel"/>
    <w:tmpl w:val="3670C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36A1E"/>
    <w:multiLevelType w:val="hybridMultilevel"/>
    <w:tmpl w:val="A7A048E8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E0D7D"/>
    <w:multiLevelType w:val="hybridMultilevel"/>
    <w:tmpl w:val="4170E62A"/>
    <w:lvl w:ilvl="0" w:tplc="040C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567D4C74"/>
    <w:multiLevelType w:val="hybridMultilevel"/>
    <w:tmpl w:val="A3DCDD66"/>
    <w:lvl w:ilvl="0" w:tplc="50CC1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A2D49"/>
    <w:multiLevelType w:val="hybridMultilevel"/>
    <w:tmpl w:val="1132EAE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F1970"/>
    <w:multiLevelType w:val="hybridMultilevel"/>
    <w:tmpl w:val="30B2782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1602FF"/>
    <w:multiLevelType w:val="hybridMultilevel"/>
    <w:tmpl w:val="4BEC0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12B1E"/>
    <w:multiLevelType w:val="hybridMultilevel"/>
    <w:tmpl w:val="D8BC3648"/>
    <w:lvl w:ilvl="0" w:tplc="D38EA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21D41"/>
    <w:multiLevelType w:val="hybridMultilevel"/>
    <w:tmpl w:val="C09CCBB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406E7B"/>
    <w:multiLevelType w:val="hybridMultilevel"/>
    <w:tmpl w:val="940067FA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 w15:restartNumberingAfterBreak="0">
    <w:nsid w:val="6EFB67BA"/>
    <w:multiLevelType w:val="hybridMultilevel"/>
    <w:tmpl w:val="A1CC846E"/>
    <w:lvl w:ilvl="0" w:tplc="CE7A9AA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A6296"/>
    <w:multiLevelType w:val="hybridMultilevel"/>
    <w:tmpl w:val="C40A2994"/>
    <w:lvl w:ilvl="0" w:tplc="4C62D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7692B"/>
    <w:multiLevelType w:val="hybridMultilevel"/>
    <w:tmpl w:val="549EA0B2"/>
    <w:lvl w:ilvl="0" w:tplc="435215C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56236"/>
    <w:multiLevelType w:val="hybridMultilevel"/>
    <w:tmpl w:val="E0D846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A5293"/>
    <w:multiLevelType w:val="hybridMultilevel"/>
    <w:tmpl w:val="5088EC5A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DC65CC2"/>
    <w:multiLevelType w:val="hybridMultilevel"/>
    <w:tmpl w:val="50C64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6"/>
  </w:num>
  <w:num w:numId="3">
    <w:abstractNumId w:val="29"/>
  </w:num>
  <w:num w:numId="4">
    <w:abstractNumId w:val="8"/>
  </w:num>
  <w:num w:numId="5">
    <w:abstractNumId w:val="3"/>
  </w:num>
  <w:num w:numId="6">
    <w:abstractNumId w:val="0"/>
  </w:num>
  <w:num w:numId="7">
    <w:abstractNumId w:val="23"/>
  </w:num>
  <w:num w:numId="8">
    <w:abstractNumId w:val="10"/>
  </w:num>
  <w:num w:numId="9">
    <w:abstractNumId w:val="1"/>
  </w:num>
  <w:num w:numId="10">
    <w:abstractNumId w:val="42"/>
  </w:num>
  <w:num w:numId="11">
    <w:abstractNumId w:val="40"/>
  </w:num>
  <w:num w:numId="12">
    <w:abstractNumId w:val="16"/>
  </w:num>
  <w:num w:numId="13">
    <w:abstractNumId w:val="5"/>
  </w:num>
  <w:num w:numId="14">
    <w:abstractNumId w:val="9"/>
  </w:num>
  <w:num w:numId="15">
    <w:abstractNumId w:val="35"/>
  </w:num>
  <w:num w:numId="16">
    <w:abstractNumId w:val="14"/>
  </w:num>
  <w:num w:numId="17">
    <w:abstractNumId w:val="27"/>
  </w:num>
  <w:num w:numId="18">
    <w:abstractNumId w:val="34"/>
  </w:num>
  <w:num w:numId="19">
    <w:abstractNumId w:val="38"/>
  </w:num>
  <w:num w:numId="20">
    <w:abstractNumId w:val="7"/>
  </w:num>
  <w:num w:numId="21">
    <w:abstractNumId w:val="31"/>
  </w:num>
  <w:num w:numId="22">
    <w:abstractNumId w:val="33"/>
  </w:num>
  <w:num w:numId="23">
    <w:abstractNumId w:val="4"/>
  </w:num>
  <w:num w:numId="24">
    <w:abstractNumId w:val="21"/>
  </w:num>
  <w:num w:numId="25">
    <w:abstractNumId w:val="11"/>
  </w:num>
  <w:num w:numId="26">
    <w:abstractNumId w:val="15"/>
  </w:num>
  <w:num w:numId="27">
    <w:abstractNumId w:val="37"/>
  </w:num>
  <w:num w:numId="28">
    <w:abstractNumId w:val="24"/>
  </w:num>
  <w:num w:numId="29">
    <w:abstractNumId w:val="2"/>
  </w:num>
  <w:num w:numId="30">
    <w:abstractNumId w:val="28"/>
  </w:num>
  <w:num w:numId="31">
    <w:abstractNumId w:val="19"/>
  </w:num>
  <w:num w:numId="32">
    <w:abstractNumId w:val="6"/>
  </w:num>
  <w:num w:numId="33">
    <w:abstractNumId w:val="30"/>
  </w:num>
  <w:num w:numId="34">
    <w:abstractNumId w:val="12"/>
  </w:num>
  <w:num w:numId="35">
    <w:abstractNumId w:val="17"/>
  </w:num>
  <w:num w:numId="36">
    <w:abstractNumId w:val="41"/>
  </w:num>
  <w:num w:numId="37">
    <w:abstractNumId w:val="13"/>
  </w:num>
  <w:num w:numId="38">
    <w:abstractNumId w:val="20"/>
  </w:num>
  <w:num w:numId="39">
    <w:abstractNumId w:val="25"/>
  </w:num>
  <w:num w:numId="40">
    <w:abstractNumId w:val="32"/>
  </w:num>
  <w:num w:numId="41">
    <w:abstractNumId w:val="18"/>
  </w:num>
  <w:num w:numId="42">
    <w:abstractNumId w:val="39"/>
  </w:num>
  <w:num w:numId="43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activeRecord w:val="-1"/>
    <w:odso>
      <w:udl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19"/>
    <w:rsid w:val="00000DB8"/>
    <w:rsid w:val="00005CFF"/>
    <w:rsid w:val="000069D1"/>
    <w:rsid w:val="00007572"/>
    <w:rsid w:val="000102CE"/>
    <w:rsid w:val="00012604"/>
    <w:rsid w:val="00012EE0"/>
    <w:rsid w:val="000201FD"/>
    <w:rsid w:val="00022231"/>
    <w:rsid w:val="00022C64"/>
    <w:rsid w:val="00026DD8"/>
    <w:rsid w:val="00041AEE"/>
    <w:rsid w:val="00042645"/>
    <w:rsid w:val="000430DA"/>
    <w:rsid w:val="00052780"/>
    <w:rsid w:val="000564CC"/>
    <w:rsid w:val="000567F6"/>
    <w:rsid w:val="00061ED6"/>
    <w:rsid w:val="00062119"/>
    <w:rsid w:val="000645A5"/>
    <w:rsid w:val="00071BBD"/>
    <w:rsid w:val="00071C38"/>
    <w:rsid w:val="00072A3A"/>
    <w:rsid w:val="00074D3D"/>
    <w:rsid w:val="00075CA6"/>
    <w:rsid w:val="00075E85"/>
    <w:rsid w:val="000767EB"/>
    <w:rsid w:val="000831DC"/>
    <w:rsid w:val="0008390A"/>
    <w:rsid w:val="00085669"/>
    <w:rsid w:val="00087B1A"/>
    <w:rsid w:val="00092BED"/>
    <w:rsid w:val="00093A99"/>
    <w:rsid w:val="00094297"/>
    <w:rsid w:val="00096092"/>
    <w:rsid w:val="000960F3"/>
    <w:rsid w:val="00096116"/>
    <w:rsid w:val="00096531"/>
    <w:rsid w:val="000966D1"/>
    <w:rsid w:val="000969A9"/>
    <w:rsid w:val="000A331C"/>
    <w:rsid w:val="000A5B57"/>
    <w:rsid w:val="000A7DB6"/>
    <w:rsid w:val="000B0FCC"/>
    <w:rsid w:val="000B1E1C"/>
    <w:rsid w:val="000B3A13"/>
    <w:rsid w:val="000B642A"/>
    <w:rsid w:val="000B68D3"/>
    <w:rsid w:val="000B7E32"/>
    <w:rsid w:val="000C0470"/>
    <w:rsid w:val="000C0B24"/>
    <w:rsid w:val="000C1065"/>
    <w:rsid w:val="000C4601"/>
    <w:rsid w:val="000C54C7"/>
    <w:rsid w:val="000C6244"/>
    <w:rsid w:val="000D24B5"/>
    <w:rsid w:val="000D39E1"/>
    <w:rsid w:val="000D6FD8"/>
    <w:rsid w:val="000E1872"/>
    <w:rsid w:val="000E3B41"/>
    <w:rsid w:val="000E4216"/>
    <w:rsid w:val="000E6E33"/>
    <w:rsid w:val="000F0C92"/>
    <w:rsid w:val="000F13B9"/>
    <w:rsid w:val="000F253A"/>
    <w:rsid w:val="000F2A88"/>
    <w:rsid w:val="000F4183"/>
    <w:rsid w:val="000F5B61"/>
    <w:rsid w:val="000F636B"/>
    <w:rsid w:val="000F7C48"/>
    <w:rsid w:val="0010083B"/>
    <w:rsid w:val="001020FC"/>
    <w:rsid w:val="00103E2D"/>
    <w:rsid w:val="001040B3"/>
    <w:rsid w:val="00106859"/>
    <w:rsid w:val="00113AE3"/>
    <w:rsid w:val="00114B85"/>
    <w:rsid w:val="001163BD"/>
    <w:rsid w:val="00116F9D"/>
    <w:rsid w:val="00130704"/>
    <w:rsid w:val="0013115C"/>
    <w:rsid w:val="00140938"/>
    <w:rsid w:val="0014306A"/>
    <w:rsid w:val="001436C3"/>
    <w:rsid w:val="00143FF2"/>
    <w:rsid w:val="00144780"/>
    <w:rsid w:val="0014573F"/>
    <w:rsid w:val="00151E5A"/>
    <w:rsid w:val="0015334E"/>
    <w:rsid w:val="0015584A"/>
    <w:rsid w:val="00155B72"/>
    <w:rsid w:val="001600EC"/>
    <w:rsid w:val="0016465A"/>
    <w:rsid w:val="001647C2"/>
    <w:rsid w:val="00173BFC"/>
    <w:rsid w:val="00175365"/>
    <w:rsid w:val="00175AE2"/>
    <w:rsid w:val="00176DDA"/>
    <w:rsid w:val="00177330"/>
    <w:rsid w:val="001822E0"/>
    <w:rsid w:val="00182803"/>
    <w:rsid w:val="0018553D"/>
    <w:rsid w:val="00185E86"/>
    <w:rsid w:val="001869C4"/>
    <w:rsid w:val="00191D84"/>
    <w:rsid w:val="00197219"/>
    <w:rsid w:val="001A4F90"/>
    <w:rsid w:val="001B57F1"/>
    <w:rsid w:val="001C008A"/>
    <w:rsid w:val="001C55F8"/>
    <w:rsid w:val="001C58F4"/>
    <w:rsid w:val="001D04AB"/>
    <w:rsid w:val="001D1261"/>
    <w:rsid w:val="001D2DD9"/>
    <w:rsid w:val="001D6946"/>
    <w:rsid w:val="001E13B7"/>
    <w:rsid w:val="001E18EE"/>
    <w:rsid w:val="001E2FC5"/>
    <w:rsid w:val="001E4B2A"/>
    <w:rsid w:val="001F09B9"/>
    <w:rsid w:val="001F28EB"/>
    <w:rsid w:val="001F4C92"/>
    <w:rsid w:val="001F5E3A"/>
    <w:rsid w:val="001F6B5F"/>
    <w:rsid w:val="001F7B5A"/>
    <w:rsid w:val="00212D4A"/>
    <w:rsid w:val="00220941"/>
    <w:rsid w:val="00220FFB"/>
    <w:rsid w:val="002211D7"/>
    <w:rsid w:val="00221871"/>
    <w:rsid w:val="002234AC"/>
    <w:rsid w:val="00223862"/>
    <w:rsid w:val="0022616A"/>
    <w:rsid w:val="002311B5"/>
    <w:rsid w:val="00231694"/>
    <w:rsid w:val="00232728"/>
    <w:rsid w:val="00232D33"/>
    <w:rsid w:val="00234359"/>
    <w:rsid w:val="00235AB2"/>
    <w:rsid w:val="002370A5"/>
    <w:rsid w:val="00237A95"/>
    <w:rsid w:val="00246E89"/>
    <w:rsid w:val="00251BCA"/>
    <w:rsid w:val="00252195"/>
    <w:rsid w:val="00253AF3"/>
    <w:rsid w:val="0025585A"/>
    <w:rsid w:val="00255CCA"/>
    <w:rsid w:val="00255DA6"/>
    <w:rsid w:val="00260151"/>
    <w:rsid w:val="0026066E"/>
    <w:rsid w:val="0026542F"/>
    <w:rsid w:val="00273F1E"/>
    <w:rsid w:val="00274467"/>
    <w:rsid w:val="00277FB4"/>
    <w:rsid w:val="00286B28"/>
    <w:rsid w:val="00286E8B"/>
    <w:rsid w:val="00286FDE"/>
    <w:rsid w:val="00295470"/>
    <w:rsid w:val="00295B82"/>
    <w:rsid w:val="002A5056"/>
    <w:rsid w:val="002A514B"/>
    <w:rsid w:val="002A7A09"/>
    <w:rsid w:val="002B169A"/>
    <w:rsid w:val="002B1816"/>
    <w:rsid w:val="002B3A3B"/>
    <w:rsid w:val="002B47A8"/>
    <w:rsid w:val="002B59DA"/>
    <w:rsid w:val="002C145F"/>
    <w:rsid w:val="002C2D64"/>
    <w:rsid w:val="002C37C3"/>
    <w:rsid w:val="002C5719"/>
    <w:rsid w:val="002C75C6"/>
    <w:rsid w:val="002D1FA8"/>
    <w:rsid w:val="002D3E2C"/>
    <w:rsid w:val="002D5407"/>
    <w:rsid w:val="002D7270"/>
    <w:rsid w:val="002D7CFB"/>
    <w:rsid w:val="002D7FEB"/>
    <w:rsid w:val="002E0A35"/>
    <w:rsid w:val="002E20D7"/>
    <w:rsid w:val="002E223F"/>
    <w:rsid w:val="002E2C1E"/>
    <w:rsid w:val="002E44B5"/>
    <w:rsid w:val="002E6E4D"/>
    <w:rsid w:val="002F05F3"/>
    <w:rsid w:val="002F12CF"/>
    <w:rsid w:val="003005A1"/>
    <w:rsid w:val="00302213"/>
    <w:rsid w:val="003043D1"/>
    <w:rsid w:val="00304B2E"/>
    <w:rsid w:val="00306E00"/>
    <w:rsid w:val="003235B8"/>
    <w:rsid w:val="0032432B"/>
    <w:rsid w:val="0032440F"/>
    <w:rsid w:val="00324C77"/>
    <w:rsid w:val="00324CFF"/>
    <w:rsid w:val="00330002"/>
    <w:rsid w:val="003306CC"/>
    <w:rsid w:val="00333C9B"/>
    <w:rsid w:val="00336138"/>
    <w:rsid w:val="00336DC8"/>
    <w:rsid w:val="003400B2"/>
    <w:rsid w:val="003429FE"/>
    <w:rsid w:val="00343AE2"/>
    <w:rsid w:val="00346C8E"/>
    <w:rsid w:val="003473A9"/>
    <w:rsid w:val="00350126"/>
    <w:rsid w:val="00350DE1"/>
    <w:rsid w:val="00350F73"/>
    <w:rsid w:val="00356297"/>
    <w:rsid w:val="0035740A"/>
    <w:rsid w:val="00362A2E"/>
    <w:rsid w:val="00363348"/>
    <w:rsid w:val="00365331"/>
    <w:rsid w:val="0036610D"/>
    <w:rsid w:val="003661CF"/>
    <w:rsid w:val="003665B5"/>
    <w:rsid w:val="00366DF2"/>
    <w:rsid w:val="00370630"/>
    <w:rsid w:val="00373C5D"/>
    <w:rsid w:val="00376F27"/>
    <w:rsid w:val="0037768C"/>
    <w:rsid w:val="0038263E"/>
    <w:rsid w:val="0038439E"/>
    <w:rsid w:val="00390A3E"/>
    <w:rsid w:val="00391AE5"/>
    <w:rsid w:val="00393DE5"/>
    <w:rsid w:val="00393F93"/>
    <w:rsid w:val="003A6F29"/>
    <w:rsid w:val="003B4281"/>
    <w:rsid w:val="003B57EB"/>
    <w:rsid w:val="003C2B09"/>
    <w:rsid w:val="003C6471"/>
    <w:rsid w:val="003C6E3B"/>
    <w:rsid w:val="003D358B"/>
    <w:rsid w:val="003D49D5"/>
    <w:rsid w:val="003D541E"/>
    <w:rsid w:val="003D660C"/>
    <w:rsid w:val="003E5E6A"/>
    <w:rsid w:val="003E700C"/>
    <w:rsid w:val="003E7821"/>
    <w:rsid w:val="003F049B"/>
    <w:rsid w:val="003F0D2C"/>
    <w:rsid w:val="003F141B"/>
    <w:rsid w:val="003F764F"/>
    <w:rsid w:val="004009A6"/>
    <w:rsid w:val="00400BD6"/>
    <w:rsid w:val="00403231"/>
    <w:rsid w:val="00404DDF"/>
    <w:rsid w:val="00406ED4"/>
    <w:rsid w:val="004079CF"/>
    <w:rsid w:val="00412F89"/>
    <w:rsid w:val="00415BA2"/>
    <w:rsid w:val="004203BA"/>
    <w:rsid w:val="0042326D"/>
    <w:rsid w:val="00423D9D"/>
    <w:rsid w:val="004240DA"/>
    <w:rsid w:val="0042444D"/>
    <w:rsid w:val="00427B07"/>
    <w:rsid w:val="00437EC8"/>
    <w:rsid w:val="0044092E"/>
    <w:rsid w:val="00440ABC"/>
    <w:rsid w:val="004442C0"/>
    <w:rsid w:val="00446034"/>
    <w:rsid w:val="00446744"/>
    <w:rsid w:val="00446935"/>
    <w:rsid w:val="00450519"/>
    <w:rsid w:val="0045620A"/>
    <w:rsid w:val="00462058"/>
    <w:rsid w:val="00462F72"/>
    <w:rsid w:val="00463E8A"/>
    <w:rsid w:val="00464029"/>
    <w:rsid w:val="004642F8"/>
    <w:rsid w:val="004648BA"/>
    <w:rsid w:val="004648E0"/>
    <w:rsid w:val="00465731"/>
    <w:rsid w:val="00465DB5"/>
    <w:rsid w:val="00477445"/>
    <w:rsid w:val="00480EBD"/>
    <w:rsid w:val="00481A98"/>
    <w:rsid w:val="00481CFB"/>
    <w:rsid w:val="00483C45"/>
    <w:rsid w:val="00484753"/>
    <w:rsid w:val="0048577D"/>
    <w:rsid w:val="004879F6"/>
    <w:rsid w:val="004A11B7"/>
    <w:rsid w:val="004A5D09"/>
    <w:rsid w:val="004A6BA4"/>
    <w:rsid w:val="004A76F8"/>
    <w:rsid w:val="004B2336"/>
    <w:rsid w:val="004B37B0"/>
    <w:rsid w:val="004B3CBF"/>
    <w:rsid w:val="004B75B3"/>
    <w:rsid w:val="004C19C4"/>
    <w:rsid w:val="004C27AD"/>
    <w:rsid w:val="004C540D"/>
    <w:rsid w:val="004C6FCD"/>
    <w:rsid w:val="004C77AA"/>
    <w:rsid w:val="004D043E"/>
    <w:rsid w:val="004D44E6"/>
    <w:rsid w:val="004D6047"/>
    <w:rsid w:val="004E1073"/>
    <w:rsid w:val="004E5FE8"/>
    <w:rsid w:val="004F678F"/>
    <w:rsid w:val="004F6A3C"/>
    <w:rsid w:val="004F712B"/>
    <w:rsid w:val="004F78B1"/>
    <w:rsid w:val="00513717"/>
    <w:rsid w:val="00521D43"/>
    <w:rsid w:val="00522DFC"/>
    <w:rsid w:val="00523E5D"/>
    <w:rsid w:val="00527E47"/>
    <w:rsid w:val="00533CF8"/>
    <w:rsid w:val="00540C5F"/>
    <w:rsid w:val="00541E68"/>
    <w:rsid w:val="00545B0B"/>
    <w:rsid w:val="00545E89"/>
    <w:rsid w:val="00551285"/>
    <w:rsid w:val="00554161"/>
    <w:rsid w:val="00556174"/>
    <w:rsid w:val="00560B19"/>
    <w:rsid w:val="00562F50"/>
    <w:rsid w:val="00562FC2"/>
    <w:rsid w:val="005668E3"/>
    <w:rsid w:val="0057261A"/>
    <w:rsid w:val="0057545B"/>
    <w:rsid w:val="00575CBA"/>
    <w:rsid w:val="0058059F"/>
    <w:rsid w:val="005952FB"/>
    <w:rsid w:val="005956B8"/>
    <w:rsid w:val="00595F33"/>
    <w:rsid w:val="00596644"/>
    <w:rsid w:val="00597582"/>
    <w:rsid w:val="005A3460"/>
    <w:rsid w:val="005A34B6"/>
    <w:rsid w:val="005B30A2"/>
    <w:rsid w:val="005B582C"/>
    <w:rsid w:val="005C1AB8"/>
    <w:rsid w:val="005C4515"/>
    <w:rsid w:val="005D31EF"/>
    <w:rsid w:val="005D35D1"/>
    <w:rsid w:val="005D7046"/>
    <w:rsid w:val="005D70B8"/>
    <w:rsid w:val="005E117E"/>
    <w:rsid w:val="005E2DF6"/>
    <w:rsid w:val="005E6109"/>
    <w:rsid w:val="005F1C9F"/>
    <w:rsid w:val="005F6CC0"/>
    <w:rsid w:val="005F7B47"/>
    <w:rsid w:val="006014EE"/>
    <w:rsid w:val="00602270"/>
    <w:rsid w:val="0060309B"/>
    <w:rsid w:val="0060377F"/>
    <w:rsid w:val="00603C01"/>
    <w:rsid w:val="00611388"/>
    <w:rsid w:val="00612D0A"/>
    <w:rsid w:val="00615275"/>
    <w:rsid w:val="00617005"/>
    <w:rsid w:val="00623490"/>
    <w:rsid w:val="006264F9"/>
    <w:rsid w:val="006320AE"/>
    <w:rsid w:val="00632F63"/>
    <w:rsid w:val="0063757E"/>
    <w:rsid w:val="00640261"/>
    <w:rsid w:val="006416E9"/>
    <w:rsid w:val="00641BC9"/>
    <w:rsid w:val="006424E8"/>
    <w:rsid w:val="00645648"/>
    <w:rsid w:val="00645E2B"/>
    <w:rsid w:val="00652A97"/>
    <w:rsid w:val="00654150"/>
    <w:rsid w:val="00655D6D"/>
    <w:rsid w:val="00656271"/>
    <w:rsid w:val="00656D48"/>
    <w:rsid w:val="006605FD"/>
    <w:rsid w:val="006665F2"/>
    <w:rsid w:val="00666795"/>
    <w:rsid w:val="006674BD"/>
    <w:rsid w:val="00672AA8"/>
    <w:rsid w:val="0067311A"/>
    <w:rsid w:val="0067540C"/>
    <w:rsid w:val="0067692B"/>
    <w:rsid w:val="006775D5"/>
    <w:rsid w:val="006802CC"/>
    <w:rsid w:val="0068208F"/>
    <w:rsid w:val="00690676"/>
    <w:rsid w:val="00690F13"/>
    <w:rsid w:val="00691A72"/>
    <w:rsid w:val="0069273D"/>
    <w:rsid w:val="00693D12"/>
    <w:rsid w:val="006A0056"/>
    <w:rsid w:val="006A1209"/>
    <w:rsid w:val="006A1505"/>
    <w:rsid w:val="006A5E39"/>
    <w:rsid w:val="006B3FE1"/>
    <w:rsid w:val="006B7FA9"/>
    <w:rsid w:val="006C0C3F"/>
    <w:rsid w:val="006C4052"/>
    <w:rsid w:val="006D2DD3"/>
    <w:rsid w:val="006D31EE"/>
    <w:rsid w:val="006D691F"/>
    <w:rsid w:val="006D6EDB"/>
    <w:rsid w:val="006D7819"/>
    <w:rsid w:val="006D7E38"/>
    <w:rsid w:val="006E6B93"/>
    <w:rsid w:val="006F0215"/>
    <w:rsid w:val="006F16D3"/>
    <w:rsid w:val="006F4794"/>
    <w:rsid w:val="006F7434"/>
    <w:rsid w:val="0070343D"/>
    <w:rsid w:val="0070639C"/>
    <w:rsid w:val="007075F6"/>
    <w:rsid w:val="007131F1"/>
    <w:rsid w:val="00713355"/>
    <w:rsid w:val="00714E43"/>
    <w:rsid w:val="00722328"/>
    <w:rsid w:val="00723397"/>
    <w:rsid w:val="00725643"/>
    <w:rsid w:val="0072703C"/>
    <w:rsid w:val="00736CDA"/>
    <w:rsid w:val="00736F8A"/>
    <w:rsid w:val="007373DE"/>
    <w:rsid w:val="00752555"/>
    <w:rsid w:val="0076038F"/>
    <w:rsid w:val="00761346"/>
    <w:rsid w:val="00761D29"/>
    <w:rsid w:val="00767EEA"/>
    <w:rsid w:val="00775804"/>
    <w:rsid w:val="0077606C"/>
    <w:rsid w:val="00781309"/>
    <w:rsid w:val="00781510"/>
    <w:rsid w:val="00782602"/>
    <w:rsid w:val="007868E8"/>
    <w:rsid w:val="00787132"/>
    <w:rsid w:val="00797535"/>
    <w:rsid w:val="007A03CA"/>
    <w:rsid w:val="007A27E1"/>
    <w:rsid w:val="007A39F4"/>
    <w:rsid w:val="007A68AB"/>
    <w:rsid w:val="007A69D4"/>
    <w:rsid w:val="007A744D"/>
    <w:rsid w:val="007A7F7C"/>
    <w:rsid w:val="007B25F4"/>
    <w:rsid w:val="007B6250"/>
    <w:rsid w:val="007C477E"/>
    <w:rsid w:val="007D0200"/>
    <w:rsid w:val="007D15DA"/>
    <w:rsid w:val="007D4A87"/>
    <w:rsid w:val="007E1C3E"/>
    <w:rsid w:val="007E2D74"/>
    <w:rsid w:val="007E2F9F"/>
    <w:rsid w:val="007E4165"/>
    <w:rsid w:val="007E673F"/>
    <w:rsid w:val="007E71D4"/>
    <w:rsid w:val="007F4B64"/>
    <w:rsid w:val="007F5444"/>
    <w:rsid w:val="0080047A"/>
    <w:rsid w:val="0080215E"/>
    <w:rsid w:val="00804442"/>
    <w:rsid w:val="0081223F"/>
    <w:rsid w:val="0081252F"/>
    <w:rsid w:val="0081374A"/>
    <w:rsid w:val="0082208D"/>
    <w:rsid w:val="0082634C"/>
    <w:rsid w:val="008265FE"/>
    <w:rsid w:val="00831CDF"/>
    <w:rsid w:val="00831CFC"/>
    <w:rsid w:val="00834A6F"/>
    <w:rsid w:val="00836843"/>
    <w:rsid w:val="00840603"/>
    <w:rsid w:val="00841104"/>
    <w:rsid w:val="008448D3"/>
    <w:rsid w:val="00845D42"/>
    <w:rsid w:val="00847D06"/>
    <w:rsid w:val="00852DDC"/>
    <w:rsid w:val="00856431"/>
    <w:rsid w:val="00861D15"/>
    <w:rsid w:val="00863164"/>
    <w:rsid w:val="00864D16"/>
    <w:rsid w:val="008662AE"/>
    <w:rsid w:val="00866384"/>
    <w:rsid w:val="00867B21"/>
    <w:rsid w:val="00872769"/>
    <w:rsid w:val="00873530"/>
    <w:rsid w:val="00876E19"/>
    <w:rsid w:val="00877E43"/>
    <w:rsid w:val="008818BA"/>
    <w:rsid w:val="00886A0F"/>
    <w:rsid w:val="008916B5"/>
    <w:rsid w:val="00892933"/>
    <w:rsid w:val="00893F62"/>
    <w:rsid w:val="008A19B1"/>
    <w:rsid w:val="008B2EA0"/>
    <w:rsid w:val="008B5BA7"/>
    <w:rsid w:val="008B78D0"/>
    <w:rsid w:val="008C168E"/>
    <w:rsid w:val="008C6537"/>
    <w:rsid w:val="008D0365"/>
    <w:rsid w:val="008D6E4C"/>
    <w:rsid w:val="008E0353"/>
    <w:rsid w:val="008E10B7"/>
    <w:rsid w:val="008E1ADB"/>
    <w:rsid w:val="008E4A4E"/>
    <w:rsid w:val="008E748A"/>
    <w:rsid w:val="008F003E"/>
    <w:rsid w:val="008F2EFF"/>
    <w:rsid w:val="008F3A11"/>
    <w:rsid w:val="00901486"/>
    <w:rsid w:val="00902E10"/>
    <w:rsid w:val="00910793"/>
    <w:rsid w:val="00911B2E"/>
    <w:rsid w:val="00915C7A"/>
    <w:rsid w:val="009218FE"/>
    <w:rsid w:val="00922FA8"/>
    <w:rsid w:val="009251A9"/>
    <w:rsid w:val="00927EFB"/>
    <w:rsid w:val="0093104D"/>
    <w:rsid w:val="00933190"/>
    <w:rsid w:val="0093434D"/>
    <w:rsid w:val="00936678"/>
    <w:rsid w:val="00936687"/>
    <w:rsid w:val="00936BED"/>
    <w:rsid w:val="00936F14"/>
    <w:rsid w:val="009427B3"/>
    <w:rsid w:val="00942BAB"/>
    <w:rsid w:val="00942D72"/>
    <w:rsid w:val="00944757"/>
    <w:rsid w:val="00946867"/>
    <w:rsid w:val="009506F5"/>
    <w:rsid w:val="0096145F"/>
    <w:rsid w:val="00961FF2"/>
    <w:rsid w:val="00970CC3"/>
    <w:rsid w:val="0097108D"/>
    <w:rsid w:val="00972F64"/>
    <w:rsid w:val="00973099"/>
    <w:rsid w:val="00973AAB"/>
    <w:rsid w:val="00974F0A"/>
    <w:rsid w:val="00980F59"/>
    <w:rsid w:val="00981F23"/>
    <w:rsid w:val="00983D16"/>
    <w:rsid w:val="00994461"/>
    <w:rsid w:val="00995140"/>
    <w:rsid w:val="009967B4"/>
    <w:rsid w:val="009A314C"/>
    <w:rsid w:val="009A4839"/>
    <w:rsid w:val="009A57F0"/>
    <w:rsid w:val="009A715C"/>
    <w:rsid w:val="009B4A6A"/>
    <w:rsid w:val="009B4B09"/>
    <w:rsid w:val="009B578B"/>
    <w:rsid w:val="009B75B4"/>
    <w:rsid w:val="009C67E5"/>
    <w:rsid w:val="009D1B5A"/>
    <w:rsid w:val="009D1DDA"/>
    <w:rsid w:val="009E5629"/>
    <w:rsid w:val="009F1676"/>
    <w:rsid w:val="009F1FD5"/>
    <w:rsid w:val="009F7133"/>
    <w:rsid w:val="00A00A16"/>
    <w:rsid w:val="00A00CB6"/>
    <w:rsid w:val="00A00D16"/>
    <w:rsid w:val="00A03BEB"/>
    <w:rsid w:val="00A05840"/>
    <w:rsid w:val="00A066EB"/>
    <w:rsid w:val="00A076D8"/>
    <w:rsid w:val="00A07F48"/>
    <w:rsid w:val="00A10C22"/>
    <w:rsid w:val="00A1210D"/>
    <w:rsid w:val="00A133EF"/>
    <w:rsid w:val="00A23C73"/>
    <w:rsid w:val="00A2553B"/>
    <w:rsid w:val="00A25C32"/>
    <w:rsid w:val="00A270C3"/>
    <w:rsid w:val="00A30585"/>
    <w:rsid w:val="00A30982"/>
    <w:rsid w:val="00A34CAE"/>
    <w:rsid w:val="00A37A84"/>
    <w:rsid w:val="00A41514"/>
    <w:rsid w:val="00A42E70"/>
    <w:rsid w:val="00A46436"/>
    <w:rsid w:val="00A47790"/>
    <w:rsid w:val="00A504A5"/>
    <w:rsid w:val="00A53721"/>
    <w:rsid w:val="00A548AD"/>
    <w:rsid w:val="00A60644"/>
    <w:rsid w:val="00A62A4A"/>
    <w:rsid w:val="00A7067E"/>
    <w:rsid w:val="00A71D0E"/>
    <w:rsid w:val="00A74340"/>
    <w:rsid w:val="00A7466B"/>
    <w:rsid w:val="00A74D4F"/>
    <w:rsid w:val="00A75571"/>
    <w:rsid w:val="00A84DDF"/>
    <w:rsid w:val="00A8750A"/>
    <w:rsid w:val="00A923DB"/>
    <w:rsid w:val="00A926CA"/>
    <w:rsid w:val="00A94764"/>
    <w:rsid w:val="00A958FE"/>
    <w:rsid w:val="00A96F74"/>
    <w:rsid w:val="00AA021C"/>
    <w:rsid w:val="00AA08B4"/>
    <w:rsid w:val="00AA515E"/>
    <w:rsid w:val="00AA6A6A"/>
    <w:rsid w:val="00AA7DC0"/>
    <w:rsid w:val="00AB3822"/>
    <w:rsid w:val="00AB6549"/>
    <w:rsid w:val="00AC0A64"/>
    <w:rsid w:val="00AC0C80"/>
    <w:rsid w:val="00AC30DB"/>
    <w:rsid w:val="00AC554C"/>
    <w:rsid w:val="00AE46FB"/>
    <w:rsid w:val="00AE635B"/>
    <w:rsid w:val="00AF37EC"/>
    <w:rsid w:val="00AF4EDE"/>
    <w:rsid w:val="00B00EF9"/>
    <w:rsid w:val="00B01BDB"/>
    <w:rsid w:val="00B0431E"/>
    <w:rsid w:val="00B06DB4"/>
    <w:rsid w:val="00B07329"/>
    <w:rsid w:val="00B1077D"/>
    <w:rsid w:val="00B12864"/>
    <w:rsid w:val="00B13057"/>
    <w:rsid w:val="00B25BE7"/>
    <w:rsid w:val="00B26699"/>
    <w:rsid w:val="00B307FD"/>
    <w:rsid w:val="00B30C09"/>
    <w:rsid w:val="00B30CCF"/>
    <w:rsid w:val="00B34DCC"/>
    <w:rsid w:val="00B3590A"/>
    <w:rsid w:val="00B35E0E"/>
    <w:rsid w:val="00B46379"/>
    <w:rsid w:val="00B5510E"/>
    <w:rsid w:val="00B605E8"/>
    <w:rsid w:val="00B60655"/>
    <w:rsid w:val="00B637FB"/>
    <w:rsid w:val="00B653E0"/>
    <w:rsid w:val="00B674D4"/>
    <w:rsid w:val="00B743C2"/>
    <w:rsid w:val="00B75BF3"/>
    <w:rsid w:val="00B8578E"/>
    <w:rsid w:val="00B85EF1"/>
    <w:rsid w:val="00B87A54"/>
    <w:rsid w:val="00B9104F"/>
    <w:rsid w:val="00B9267E"/>
    <w:rsid w:val="00B93C30"/>
    <w:rsid w:val="00B94D4D"/>
    <w:rsid w:val="00B95ACD"/>
    <w:rsid w:val="00BA3E5C"/>
    <w:rsid w:val="00BA524B"/>
    <w:rsid w:val="00BA78EC"/>
    <w:rsid w:val="00BB0881"/>
    <w:rsid w:val="00BB2527"/>
    <w:rsid w:val="00BC21CD"/>
    <w:rsid w:val="00BC32DA"/>
    <w:rsid w:val="00BC40E8"/>
    <w:rsid w:val="00BC44B5"/>
    <w:rsid w:val="00BC5057"/>
    <w:rsid w:val="00BD315F"/>
    <w:rsid w:val="00BD3329"/>
    <w:rsid w:val="00BD35D5"/>
    <w:rsid w:val="00BD449C"/>
    <w:rsid w:val="00BD4570"/>
    <w:rsid w:val="00BD4808"/>
    <w:rsid w:val="00BD5AE2"/>
    <w:rsid w:val="00BE0F1C"/>
    <w:rsid w:val="00BE1BFC"/>
    <w:rsid w:val="00BE73EB"/>
    <w:rsid w:val="00BF24D2"/>
    <w:rsid w:val="00BF3CE4"/>
    <w:rsid w:val="00BF3E41"/>
    <w:rsid w:val="00BF44B7"/>
    <w:rsid w:val="00C008B6"/>
    <w:rsid w:val="00C01925"/>
    <w:rsid w:val="00C04392"/>
    <w:rsid w:val="00C0460A"/>
    <w:rsid w:val="00C05928"/>
    <w:rsid w:val="00C11F59"/>
    <w:rsid w:val="00C12ABA"/>
    <w:rsid w:val="00C25AA2"/>
    <w:rsid w:val="00C36C6E"/>
    <w:rsid w:val="00C41BA4"/>
    <w:rsid w:val="00C435C7"/>
    <w:rsid w:val="00C4446B"/>
    <w:rsid w:val="00C45BE4"/>
    <w:rsid w:val="00C46369"/>
    <w:rsid w:val="00C47210"/>
    <w:rsid w:val="00C508CF"/>
    <w:rsid w:val="00C54F33"/>
    <w:rsid w:val="00C55762"/>
    <w:rsid w:val="00C55B57"/>
    <w:rsid w:val="00C57CF4"/>
    <w:rsid w:val="00C66EB2"/>
    <w:rsid w:val="00C73F96"/>
    <w:rsid w:val="00C86611"/>
    <w:rsid w:val="00C87516"/>
    <w:rsid w:val="00C87AF7"/>
    <w:rsid w:val="00C91368"/>
    <w:rsid w:val="00C915EB"/>
    <w:rsid w:val="00C91614"/>
    <w:rsid w:val="00C97D98"/>
    <w:rsid w:val="00CB14AB"/>
    <w:rsid w:val="00CB211B"/>
    <w:rsid w:val="00CB3823"/>
    <w:rsid w:val="00CB41AA"/>
    <w:rsid w:val="00CB5A24"/>
    <w:rsid w:val="00CB5C60"/>
    <w:rsid w:val="00CB6BF3"/>
    <w:rsid w:val="00CB73A1"/>
    <w:rsid w:val="00CC0067"/>
    <w:rsid w:val="00CC0B46"/>
    <w:rsid w:val="00CC1089"/>
    <w:rsid w:val="00CC25B9"/>
    <w:rsid w:val="00CC31D3"/>
    <w:rsid w:val="00CC493A"/>
    <w:rsid w:val="00CC5030"/>
    <w:rsid w:val="00CC628D"/>
    <w:rsid w:val="00CD29C1"/>
    <w:rsid w:val="00CD4FB5"/>
    <w:rsid w:val="00CE190A"/>
    <w:rsid w:val="00CF418E"/>
    <w:rsid w:val="00CF43EA"/>
    <w:rsid w:val="00D00FE9"/>
    <w:rsid w:val="00D07EAF"/>
    <w:rsid w:val="00D10C9C"/>
    <w:rsid w:val="00D14CBB"/>
    <w:rsid w:val="00D15401"/>
    <w:rsid w:val="00D16FD9"/>
    <w:rsid w:val="00D17C76"/>
    <w:rsid w:val="00D21C96"/>
    <w:rsid w:val="00D22C01"/>
    <w:rsid w:val="00D22C2A"/>
    <w:rsid w:val="00D24054"/>
    <w:rsid w:val="00D322F0"/>
    <w:rsid w:val="00D33F99"/>
    <w:rsid w:val="00D37E97"/>
    <w:rsid w:val="00D40FCD"/>
    <w:rsid w:val="00D416E3"/>
    <w:rsid w:val="00D41C1A"/>
    <w:rsid w:val="00D43023"/>
    <w:rsid w:val="00D44159"/>
    <w:rsid w:val="00D442B3"/>
    <w:rsid w:val="00D45A33"/>
    <w:rsid w:val="00D507E2"/>
    <w:rsid w:val="00D54DFB"/>
    <w:rsid w:val="00D5591C"/>
    <w:rsid w:val="00D56DB1"/>
    <w:rsid w:val="00D60B57"/>
    <w:rsid w:val="00D6109E"/>
    <w:rsid w:val="00D63683"/>
    <w:rsid w:val="00D653AC"/>
    <w:rsid w:val="00D65DB6"/>
    <w:rsid w:val="00D66065"/>
    <w:rsid w:val="00D6784D"/>
    <w:rsid w:val="00D70340"/>
    <w:rsid w:val="00D707EA"/>
    <w:rsid w:val="00D7535B"/>
    <w:rsid w:val="00D80842"/>
    <w:rsid w:val="00D825C3"/>
    <w:rsid w:val="00D8425D"/>
    <w:rsid w:val="00D84407"/>
    <w:rsid w:val="00D85C71"/>
    <w:rsid w:val="00D87277"/>
    <w:rsid w:val="00D91E5C"/>
    <w:rsid w:val="00D95EDE"/>
    <w:rsid w:val="00D96C85"/>
    <w:rsid w:val="00DA07C8"/>
    <w:rsid w:val="00DA30F6"/>
    <w:rsid w:val="00DA3282"/>
    <w:rsid w:val="00DA34A0"/>
    <w:rsid w:val="00DA3EBF"/>
    <w:rsid w:val="00DA4D89"/>
    <w:rsid w:val="00DA7219"/>
    <w:rsid w:val="00DB017A"/>
    <w:rsid w:val="00DB6157"/>
    <w:rsid w:val="00DB7220"/>
    <w:rsid w:val="00DC1A26"/>
    <w:rsid w:val="00DC2FC4"/>
    <w:rsid w:val="00DC60EB"/>
    <w:rsid w:val="00DC7F2A"/>
    <w:rsid w:val="00DD1498"/>
    <w:rsid w:val="00DD4051"/>
    <w:rsid w:val="00DD5A36"/>
    <w:rsid w:val="00DD743E"/>
    <w:rsid w:val="00DE2569"/>
    <w:rsid w:val="00DE2C86"/>
    <w:rsid w:val="00DE3910"/>
    <w:rsid w:val="00DE44B5"/>
    <w:rsid w:val="00DE7AD7"/>
    <w:rsid w:val="00DF2F9F"/>
    <w:rsid w:val="00DF69C3"/>
    <w:rsid w:val="00E008BD"/>
    <w:rsid w:val="00E02BEA"/>
    <w:rsid w:val="00E032E6"/>
    <w:rsid w:val="00E10C20"/>
    <w:rsid w:val="00E125F0"/>
    <w:rsid w:val="00E13A3C"/>
    <w:rsid w:val="00E145A4"/>
    <w:rsid w:val="00E15ED2"/>
    <w:rsid w:val="00E17EA3"/>
    <w:rsid w:val="00E24755"/>
    <w:rsid w:val="00E25766"/>
    <w:rsid w:val="00E2576C"/>
    <w:rsid w:val="00E26B81"/>
    <w:rsid w:val="00E31142"/>
    <w:rsid w:val="00E32E8E"/>
    <w:rsid w:val="00E43E4A"/>
    <w:rsid w:val="00E455E7"/>
    <w:rsid w:val="00E523B5"/>
    <w:rsid w:val="00E5796B"/>
    <w:rsid w:val="00E57D78"/>
    <w:rsid w:val="00E61E40"/>
    <w:rsid w:val="00E703A0"/>
    <w:rsid w:val="00E7135C"/>
    <w:rsid w:val="00E73A05"/>
    <w:rsid w:val="00E73A49"/>
    <w:rsid w:val="00E76562"/>
    <w:rsid w:val="00E779C7"/>
    <w:rsid w:val="00E8306F"/>
    <w:rsid w:val="00E831D2"/>
    <w:rsid w:val="00E8428A"/>
    <w:rsid w:val="00E903BA"/>
    <w:rsid w:val="00E90E3E"/>
    <w:rsid w:val="00E940A6"/>
    <w:rsid w:val="00E9758C"/>
    <w:rsid w:val="00EA2B00"/>
    <w:rsid w:val="00EA2B13"/>
    <w:rsid w:val="00EA4C5A"/>
    <w:rsid w:val="00EA6BFF"/>
    <w:rsid w:val="00EB1D5B"/>
    <w:rsid w:val="00EB2D75"/>
    <w:rsid w:val="00EB707A"/>
    <w:rsid w:val="00EC29EF"/>
    <w:rsid w:val="00EC2E9B"/>
    <w:rsid w:val="00EC3451"/>
    <w:rsid w:val="00EC4C40"/>
    <w:rsid w:val="00EC5441"/>
    <w:rsid w:val="00ED05BF"/>
    <w:rsid w:val="00ED0D2A"/>
    <w:rsid w:val="00ED24E4"/>
    <w:rsid w:val="00ED2B6D"/>
    <w:rsid w:val="00ED7F99"/>
    <w:rsid w:val="00ED7F9A"/>
    <w:rsid w:val="00EE0528"/>
    <w:rsid w:val="00EE0C93"/>
    <w:rsid w:val="00EE1758"/>
    <w:rsid w:val="00EE5D93"/>
    <w:rsid w:val="00EF17F6"/>
    <w:rsid w:val="00F007AE"/>
    <w:rsid w:val="00F020EE"/>
    <w:rsid w:val="00F02164"/>
    <w:rsid w:val="00F03877"/>
    <w:rsid w:val="00F06F0A"/>
    <w:rsid w:val="00F10284"/>
    <w:rsid w:val="00F126F0"/>
    <w:rsid w:val="00F2654F"/>
    <w:rsid w:val="00F3030A"/>
    <w:rsid w:val="00F336EC"/>
    <w:rsid w:val="00F3406B"/>
    <w:rsid w:val="00F347F1"/>
    <w:rsid w:val="00F35F12"/>
    <w:rsid w:val="00F37586"/>
    <w:rsid w:val="00F41550"/>
    <w:rsid w:val="00F451A0"/>
    <w:rsid w:val="00F464CA"/>
    <w:rsid w:val="00F51AF4"/>
    <w:rsid w:val="00F619A3"/>
    <w:rsid w:val="00F641F9"/>
    <w:rsid w:val="00F666B7"/>
    <w:rsid w:val="00F7049F"/>
    <w:rsid w:val="00F7133B"/>
    <w:rsid w:val="00F74FCF"/>
    <w:rsid w:val="00F759E4"/>
    <w:rsid w:val="00F77E71"/>
    <w:rsid w:val="00F80325"/>
    <w:rsid w:val="00F80B0B"/>
    <w:rsid w:val="00F82B78"/>
    <w:rsid w:val="00F84228"/>
    <w:rsid w:val="00F91C9C"/>
    <w:rsid w:val="00FA2ACF"/>
    <w:rsid w:val="00FA5E61"/>
    <w:rsid w:val="00FA72B2"/>
    <w:rsid w:val="00FB0FA3"/>
    <w:rsid w:val="00FB57E3"/>
    <w:rsid w:val="00FC259F"/>
    <w:rsid w:val="00FC2A99"/>
    <w:rsid w:val="00FC2C0E"/>
    <w:rsid w:val="00FC51B3"/>
    <w:rsid w:val="00FC6A42"/>
    <w:rsid w:val="00FD1617"/>
    <w:rsid w:val="00FD183D"/>
    <w:rsid w:val="00FD1CEE"/>
    <w:rsid w:val="00FD3C63"/>
    <w:rsid w:val="00FD64B5"/>
    <w:rsid w:val="00FE0916"/>
    <w:rsid w:val="00FE10FE"/>
    <w:rsid w:val="00FE14D3"/>
    <w:rsid w:val="00FE23D8"/>
    <w:rsid w:val="00FE4901"/>
    <w:rsid w:val="00FE677B"/>
    <w:rsid w:val="00FF0D80"/>
    <w:rsid w:val="00FF2816"/>
    <w:rsid w:val="00FF3BC6"/>
    <w:rsid w:val="00FF4390"/>
    <w:rsid w:val="00FF4EB2"/>
    <w:rsid w:val="00FF587D"/>
    <w:rsid w:val="00FF66C3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482FE1"/>
  <w15:docId w15:val="{2C7C9ED5-F1C1-4C20-8014-D9156DD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20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75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24C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07572"/>
    <w:pPr>
      <w:keepNext/>
      <w:jc w:val="center"/>
      <w:outlineLvl w:val="2"/>
    </w:pPr>
    <w:rPr>
      <w:rFonts w:ascii="Courier New" w:hAnsi="Courier New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28"/>
      <w:u w:val="single"/>
    </w:rPr>
  </w:style>
  <w:style w:type="paragraph" w:styleId="Textedebulles">
    <w:name w:val="Balloon Text"/>
    <w:basedOn w:val="Normal"/>
    <w:semiHidden/>
    <w:rsid w:val="00942D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5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3C45"/>
    <w:pPr>
      <w:spacing w:before="100" w:beforeAutospacing="1" w:after="119"/>
    </w:pPr>
  </w:style>
  <w:style w:type="paragraph" w:styleId="Paragraphedeliste">
    <w:name w:val="List Paragraph"/>
    <w:aliases w:val="Paragraphe de liste num,Paragraphe de liste 1,Listes,Puce focus,Contact,texte de base,calia titre 3,Titre 1 Car1,armelle Car,texte tableau,Ondertekst Avida,6 pt paragraphe carré,Puce Synthèse,Sous-Titre"/>
    <w:basedOn w:val="Normal"/>
    <w:link w:val="ParagraphedelisteCar"/>
    <w:uiPriority w:val="34"/>
    <w:qFormat/>
    <w:rsid w:val="003E7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link w:val="Titre1"/>
    <w:rsid w:val="00007572"/>
    <w:rPr>
      <w:rFonts w:ascii="Cambria" w:hAnsi="Cambria"/>
      <w:b/>
      <w:bCs/>
      <w:kern w:val="32"/>
      <w:sz w:val="32"/>
      <w:szCs w:val="32"/>
    </w:rPr>
  </w:style>
  <w:style w:type="character" w:customStyle="1" w:styleId="Titre3Car">
    <w:name w:val="Titre 3 Car"/>
    <w:link w:val="Titre3"/>
    <w:rsid w:val="00007572"/>
    <w:rPr>
      <w:rFonts w:ascii="Courier New" w:hAnsi="Courier New"/>
      <w:b/>
    </w:rPr>
  </w:style>
  <w:style w:type="character" w:customStyle="1" w:styleId="Titre2Car">
    <w:name w:val="Titre 2 Car"/>
    <w:basedOn w:val="Policepardfaut"/>
    <w:link w:val="Titre2"/>
    <w:semiHidden/>
    <w:rsid w:val="00324C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orpsdetexteCar">
    <w:name w:val="Corps de texte Car"/>
    <w:link w:val="Corpsdetexte"/>
    <w:rsid w:val="00404DDF"/>
    <w:rPr>
      <w:b/>
      <w:bCs/>
      <w:sz w:val="28"/>
      <w:szCs w:val="24"/>
      <w:u w:val="single"/>
    </w:rPr>
  </w:style>
  <w:style w:type="character" w:styleId="lev">
    <w:name w:val="Strong"/>
    <w:qFormat/>
    <w:rsid w:val="00FF4EB2"/>
    <w:rPr>
      <w:b/>
      <w:bCs/>
    </w:rPr>
  </w:style>
  <w:style w:type="paragraph" w:styleId="En-tte">
    <w:name w:val="header"/>
    <w:basedOn w:val="Normal"/>
    <w:link w:val="En-tt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52F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952FB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C12ABA"/>
    <w:rPr>
      <w:color w:val="808080"/>
    </w:rPr>
  </w:style>
  <w:style w:type="paragraph" w:customStyle="1" w:styleId="M6">
    <w:name w:val="M6"/>
    <w:basedOn w:val="Normal"/>
    <w:link w:val="M6Car"/>
    <w:uiPriority w:val="99"/>
    <w:rsid w:val="00787132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character" w:customStyle="1" w:styleId="M6Car">
    <w:name w:val="M6 Car"/>
    <w:basedOn w:val="Policepardfaut"/>
    <w:link w:val="M6"/>
    <w:uiPriority w:val="99"/>
    <w:locked/>
    <w:rsid w:val="00787132"/>
    <w:rPr>
      <w:rFonts w:ascii="Arial" w:hAnsi="Arial" w:cs="Arial"/>
      <w:sz w:val="18"/>
      <w:szCs w:val="18"/>
    </w:rPr>
  </w:style>
  <w:style w:type="paragraph" w:customStyle="1" w:styleId="Style1">
    <w:name w:val="Style 1"/>
    <w:basedOn w:val="Normal"/>
    <w:uiPriority w:val="99"/>
    <w:rsid w:val="00866384"/>
    <w:pPr>
      <w:widowControl w:val="0"/>
      <w:autoSpaceDE w:val="0"/>
      <w:autoSpaceDN w:val="0"/>
      <w:spacing w:before="180"/>
    </w:pPr>
  </w:style>
  <w:style w:type="paragraph" w:customStyle="1" w:styleId="Style2">
    <w:name w:val="Style 2"/>
    <w:basedOn w:val="Normal"/>
    <w:uiPriority w:val="99"/>
    <w:rsid w:val="00866384"/>
    <w:pPr>
      <w:widowControl w:val="0"/>
      <w:autoSpaceDE w:val="0"/>
      <w:autoSpaceDN w:val="0"/>
      <w:spacing w:before="144" w:line="204" w:lineRule="exact"/>
      <w:ind w:left="360"/>
    </w:pPr>
    <w:rPr>
      <w:rFonts w:ascii="Verdana" w:hAnsi="Verdana" w:cs="Verdana"/>
      <w:sz w:val="18"/>
      <w:szCs w:val="18"/>
    </w:rPr>
  </w:style>
  <w:style w:type="character" w:customStyle="1" w:styleId="CharacterStyle1">
    <w:name w:val="Character Style 1"/>
    <w:uiPriority w:val="99"/>
    <w:rsid w:val="00866384"/>
    <w:rPr>
      <w:rFonts w:ascii="Verdana" w:hAnsi="Verdana" w:cs="Verdana"/>
      <w:sz w:val="18"/>
      <w:szCs w:val="18"/>
    </w:rPr>
  </w:style>
  <w:style w:type="character" w:customStyle="1" w:styleId="CharacterStyle2">
    <w:name w:val="Character Style 2"/>
    <w:uiPriority w:val="99"/>
    <w:rsid w:val="00866384"/>
    <w:rPr>
      <w:sz w:val="20"/>
      <w:szCs w:val="20"/>
    </w:rPr>
  </w:style>
  <w:style w:type="paragraph" w:customStyle="1" w:styleId="Style4">
    <w:name w:val="Style 4"/>
    <w:basedOn w:val="Normal"/>
    <w:uiPriority w:val="99"/>
    <w:rsid w:val="00866384"/>
    <w:pPr>
      <w:widowControl w:val="0"/>
      <w:autoSpaceDE w:val="0"/>
      <w:autoSpaceDN w:val="0"/>
      <w:spacing w:before="216"/>
      <w:ind w:left="72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866384"/>
    <w:pPr>
      <w:widowControl w:val="0"/>
      <w:autoSpaceDE w:val="0"/>
      <w:autoSpaceDN w:val="0"/>
      <w:ind w:left="432"/>
    </w:pPr>
    <w:rPr>
      <w:sz w:val="23"/>
      <w:szCs w:val="23"/>
    </w:rPr>
  </w:style>
  <w:style w:type="character" w:customStyle="1" w:styleId="CharacterStyle3">
    <w:name w:val="Character Style 3"/>
    <w:uiPriority w:val="99"/>
    <w:rsid w:val="00866384"/>
    <w:rPr>
      <w:sz w:val="23"/>
      <w:szCs w:val="23"/>
    </w:rPr>
  </w:style>
  <w:style w:type="paragraph" w:customStyle="1" w:styleId="Standard">
    <w:name w:val="Standard"/>
    <w:qFormat/>
    <w:rsid w:val="00911B2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707EA"/>
    <w:rPr>
      <w:color w:val="000080"/>
      <w:u w:val="single"/>
    </w:rPr>
  </w:style>
  <w:style w:type="paragraph" w:styleId="Titre">
    <w:name w:val="Title"/>
    <w:basedOn w:val="Normal"/>
    <w:link w:val="TitreCar"/>
    <w:qFormat/>
    <w:rsid w:val="00B9267E"/>
    <w:pPr>
      <w:jc w:val="center"/>
    </w:pPr>
    <w:rPr>
      <w:b/>
      <w:szCs w:val="20"/>
    </w:rPr>
  </w:style>
  <w:style w:type="character" w:customStyle="1" w:styleId="TitreCar">
    <w:name w:val="Titre Car"/>
    <w:basedOn w:val="Policepardfaut"/>
    <w:link w:val="Titre"/>
    <w:rsid w:val="00B9267E"/>
    <w:rPr>
      <w:b/>
      <w:sz w:val="24"/>
    </w:rPr>
  </w:style>
  <w:style w:type="paragraph" w:styleId="Corpsdetexte3">
    <w:name w:val="Body Text 3"/>
    <w:basedOn w:val="Normal"/>
    <w:link w:val="Corpsdetexte3Car"/>
    <w:semiHidden/>
    <w:unhideWhenUsed/>
    <w:rsid w:val="00E26B8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26B8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nhideWhenUsed/>
    <w:rsid w:val="00E26B8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E26B81"/>
    <w:rPr>
      <w:sz w:val="24"/>
      <w:szCs w:val="24"/>
    </w:rPr>
  </w:style>
  <w:style w:type="paragraph" w:customStyle="1" w:styleId="texte">
    <w:name w:val="texte"/>
    <w:basedOn w:val="Normal"/>
    <w:rsid w:val="00E26B81"/>
  </w:style>
  <w:style w:type="character" w:customStyle="1" w:styleId="ParagraphedelisteCar">
    <w:name w:val="Paragraphe de liste Car"/>
    <w:aliases w:val="Paragraphe de liste num Car,Paragraphe de liste 1 Car,Listes Car,Puce focus Car,Contact Car,texte de base Car,calia titre 3 Car,Titre 1 Car1 Car,armelle Car Car,texte tableau Car,Ondertekst Avida Car,6 pt paragraphe carré Car"/>
    <w:basedOn w:val="Policepardfaut"/>
    <w:link w:val="Paragraphedeliste"/>
    <w:uiPriority w:val="34"/>
    <w:locked/>
    <w:rsid w:val="00BB0881"/>
    <w:rPr>
      <w:rFonts w:ascii="Calibri" w:eastAsia="Calibri" w:hAnsi="Calibri"/>
      <w:sz w:val="22"/>
      <w:szCs w:val="22"/>
      <w:lang w:eastAsia="en-US"/>
    </w:rPr>
  </w:style>
  <w:style w:type="character" w:customStyle="1" w:styleId="Policepardfaut1">
    <w:name w:val="Police par défaut1"/>
    <w:qFormat/>
    <w:rsid w:val="005B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d&#233;mission.mdb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A1D9-9BEF-4B7B-8AA8-C917218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511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 DU CONSEIL MUNICIPAL LE 17/04/2002</vt:lpstr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CONSEIL MUNICIPAL LE 17/04/2002</dc:title>
  <dc:subject/>
  <dc:creator>Mairie</dc:creator>
  <cp:keywords/>
  <dc:description/>
  <cp:lastModifiedBy>User</cp:lastModifiedBy>
  <cp:revision>12</cp:revision>
  <cp:lastPrinted>2022-03-31T11:46:00Z</cp:lastPrinted>
  <dcterms:created xsi:type="dcterms:W3CDTF">2022-03-29T06:57:00Z</dcterms:created>
  <dcterms:modified xsi:type="dcterms:W3CDTF">2022-03-31T13:12:00Z</dcterms:modified>
</cp:coreProperties>
</file>