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5C81" w14:textId="77777777" w:rsidR="00076C11" w:rsidRDefault="00076C11" w:rsidP="00076C11">
      <w:pPr>
        <w:pStyle w:val="Standard"/>
        <w:spacing w:line="276" w:lineRule="auto"/>
        <w:ind w:hanging="142"/>
      </w:pPr>
      <w:r>
        <w:t xml:space="preserve">Commune de </w:t>
      </w:r>
      <w:r>
        <w:rPr>
          <w:b/>
        </w:rPr>
        <w:t>JASNEY – 70800</w:t>
      </w:r>
    </w:p>
    <w:p w14:paraId="38C7B6BA" w14:textId="77777777" w:rsidR="00076C11" w:rsidRDefault="00076C11" w:rsidP="00076C11">
      <w:pPr>
        <w:pStyle w:val="Standard"/>
        <w:spacing w:line="276" w:lineRule="auto"/>
        <w:ind w:hanging="142"/>
        <w:rPr>
          <w:b/>
          <w:sz w:val="20"/>
          <w:szCs w:val="20"/>
        </w:rPr>
      </w:pPr>
    </w:p>
    <w:p w14:paraId="60B9CCB1" w14:textId="77777777" w:rsidR="00076C11" w:rsidRDefault="00076C11" w:rsidP="00076C11">
      <w:pPr>
        <w:pStyle w:val="Standard"/>
        <w:pBdr>
          <w:top w:val="single" w:sz="4" w:space="1" w:color="000000"/>
          <w:left w:val="single" w:sz="4" w:space="4" w:color="000000"/>
          <w:bottom w:val="single" w:sz="4" w:space="1" w:color="000000"/>
          <w:right w:val="single" w:sz="4" w:space="4" w:color="000000"/>
        </w:pBdr>
        <w:shd w:val="clear" w:color="auto" w:fill="FFFF00"/>
        <w:spacing w:line="276" w:lineRule="auto"/>
        <w:jc w:val="center"/>
        <w:rPr>
          <w:b/>
          <w:sz w:val="20"/>
          <w:szCs w:val="20"/>
        </w:rPr>
      </w:pPr>
      <w:r>
        <w:rPr>
          <w:b/>
          <w:sz w:val="20"/>
          <w:szCs w:val="20"/>
        </w:rPr>
        <w:t>COMPTE-RENDU DE LA REUNION DU CONSEIL MUNICIPAL DU 12 AVRIL 2024</w:t>
      </w:r>
    </w:p>
    <w:p w14:paraId="52EE9B4F" w14:textId="77777777" w:rsidR="00076C11" w:rsidRDefault="00076C11" w:rsidP="00076C11">
      <w:pPr>
        <w:pStyle w:val="Standard"/>
        <w:tabs>
          <w:tab w:val="left" w:pos="-284"/>
        </w:tabs>
        <w:spacing w:line="276" w:lineRule="auto"/>
        <w:ind w:left="-142"/>
        <w:jc w:val="both"/>
        <w:rPr>
          <w:i/>
          <w:sz w:val="20"/>
          <w:szCs w:val="20"/>
        </w:rPr>
      </w:pPr>
    </w:p>
    <w:p w14:paraId="26C90CF4" w14:textId="77777777" w:rsidR="00076C11" w:rsidRDefault="00076C11" w:rsidP="00076C11">
      <w:pPr>
        <w:pStyle w:val="Standard"/>
        <w:tabs>
          <w:tab w:val="left" w:pos="-284"/>
        </w:tabs>
        <w:spacing w:line="276" w:lineRule="auto"/>
        <w:ind w:left="-142"/>
        <w:jc w:val="both"/>
      </w:pPr>
      <w:r>
        <w:rPr>
          <w:b/>
          <w:i/>
          <w:sz w:val="22"/>
          <w:szCs w:val="22"/>
        </w:rPr>
        <w:t>Présents</w:t>
      </w:r>
      <w:r>
        <w:rPr>
          <w:i/>
          <w:sz w:val="22"/>
          <w:szCs w:val="22"/>
        </w:rPr>
        <w:t> : GEROME Jean Daniel, GARRET Laurent, BORONT Mickaël, BLEU Sylvain, COLLAS Josette, HUGUENOT Yvette, KUENY Stéphane, ROBERT Aude, TALGUEN Manon</w:t>
      </w:r>
      <w:r>
        <w:rPr>
          <w:i/>
          <w:sz w:val="22"/>
          <w:szCs w:val="22"/>
        </w:rPr>
        <w:tab/>
      </w:r>
    </w:p>
    <w:p w14:paraId="0A02ABA9" w14:textId="77777777" w:rsidR="00076C11" w:rsidRDefault="00076C11" w:rsidP="00076C11">
      <w:pPr>
        <w:pStyle w:val="Standard"/>
        <w:tabs>
          <w:tab w:val="left" w:pos="-284"/>
        </w:tabs>
        <w:spacing w:line="276" w:lineRule="auto"/>
        <w:ind w:left="-142"/>
        <w:jc w:val="both"/>
      </w:pPr>
      <w:r>
        <w:rPr>
          <w:b/>
          <w:bCs/>
          <w:i/>
          <w:iCs/>
          <w:sz w:val="22"/>
          <w:szCs w:val="22"/>
        </w:rPr>
        <w:t xml:space="preserve">Excusé(e)s : </w:t>
      </w:r>
      <w:r>
        <w:rPr>
          <w:i/>
          <w:iCs/>
          <w:sz w:val="22"/>
          <w:szCs w:val="22"/>
        </w:rPr>
        <w:t>GACON Anne, RAPENNE Emilie</w:t>
      </w:r>
    </w:p>
    <w:p w14:paraId="23801CA8" w14:textId="77777777" w:rsidR="00076C11" w:rsidRDefault="00076C11" w:rsidP="00076C11">
      <w:pPr>
        <w:pStyle w:val="Standard"/>
        <w:tabs>
          <w:tab w:val="left" w:pos="-284"/>
        </w:tabs>
        <w:spacing w:line="276" w:lineRule="auto"/>
        <w:ind w:left="-142"/>
        <w:jc w:val="both"/>
      </w:pPr>
      <w:r>
        <w:rPr>
          <w:b/>
          <w:i/>
          <w:sz w:val="22"/>
          <w:szCs w:val="22"/>
        </w:rPr>
        <w:t>Secrétaire de séance </w:t>
      </w:r>
      <w:r>
        <w:rPr>
          <w:sz w:val="22"/>
          <w:szCs w:val="22"/>
        </w:rPr>
        <w:t xml:space="preserve">: </w:t>
      </w:r>
      <w:r>
        <w:rPr>
          <w:i/>
          <w:sz w:val="22"/>
          <w:szCs w:val="22"/>
        </w:rPr>
        <w:t>GARRET Laurent</w:t>
      </w:r>
      <w:r>
        <w:rPr>
          <w:sz w:val="22"/>
          <w:szCs w:val="22"/>
        </w:rPr>
        <w:t xml:space="preserve">                                                                  La séance est ouverte à 20h30   </w:t>
      </w:r>
    </w:p>
    <w:p w14:paraId="04D81D98" w14:textId="77777777" w:rsidR="00076C11" w:rsidRDefault="00076C11" w:rsidP="00076C11">
      <w:pPr>
        <w:pStyle w:val="Standard"/>
        <w:tabs>
          <w:tab w:val="left" w:pos="-284"/>
        </w:tabs>
        <w:spacing w:line="276" w:lineRule="auto"/>
        <w:ind w:left="-142"/>
        <w:jc w:val="both"/>
        <w:rPr>
          <w:sz w:val="22"/>
          <w:szCs w:val="22"/>
        </w:rPr>
      </w:pPr>
    </w:p>
    <w:p w14:paraId="71F40B69" w14:textId="77777777" w:rsidR="00076C11" w:rsidRDefault="00076C11" w:rsidP="00076C11">
      <w:pPr>
        <w:pStyle w:val="Paragraphedeliste"/>
        <w:numPr>
          <w:ilvl w:val="0"/>
          <w:numId w:val="2"/>
        </w:numPr>
        <w:tabs>
          <w:tab w:val="left" w:pos="3590"/>
        </w:tabs>
        <w:spacing w:line="276" w:lineRule="auto"/>
        <w:jc w:val="both"/>
      </w:pPr>
      <w:r>
        <w:rPr>
          <w:b/>
          <w:u w:val="single"/>
        </w:rPr>
        <w:t>Budget primitif général 2024 </w:t>
      </w:r>
      <w:r>
        <w:rPr>
          <w:b/>
        </w:rPr>
        <w:t>:</w:t>
      </w:r>
    </w:p>
    <w:p w14:paraId="3A66A804" w14:textId="77777777" w:rsidR="00076C11" w:rsidRDefault="00076C11" w:rsidP="00076C11">
      <w:pPr>
        <w:pStyle w:val="Paragraphedeliste"/>
        <w:tabs>
          <w:tab w:val="left" w:pos="578"/>
        </w:tabs>
        <w:spacing w:line="276" w:lineRule="auto"/>
        <w:jc w:val="both"/>
      </w:pPr>
      <w:r>
        <w:rPr>
          <w:b/>
        </w:rPr>
        <w:t xml:space="preserve">  </w:t>
      </w:r>
      <w:r>
        <w:t>La prévision des dépenses et recettes de l’année 2024 s’établit comme suit :</w:t>
      </w:r>
    </w:p>
    <w:p w14:paraId="0F487873" w14:textId="77777777" w:rsidR="00076C11" w:rsidRDefault="00076C11" w:rsidP="00076C11">
      <w:pPr>
        <w:pStyle w:val="Paragraphedeliste"/>
        <w:tabs>
          <w:tab w:val="left" w:pos="578"/>
        </w:tabs>
        <w:spacing w:line="276" w:lineRule="auto"/>
        <w:jc w:val="both"/>
        <w:rPr>
          <w:sz w:val="20"/>
          <w:szCs w:val="20"/>
        </w:rPr>
      </w:pPr>
    </w:p>
    <w:tbl>
      <w:tblPr>
        <w:tblW w:w="9630" w:type="dxa"/>
        <w:tblInd w:w="105" w:type="dxa"/>
        <w:tblLayout w:type="fixed"/>
        <w:tblCellMar>
          <w:left w:w="10" w:type="dxa"/>
          <w:right w:w="10" w:type="dxa"/>
        </w:tblCellMar>
        <w:tblLook w:val="04A0" w:firstRow="1" w:lastRow="0" w:firstColumn="1" w:lastColumn="0" w:noHBand="0" w:noVBand="1"/>
      </w:tblPr>
      <w:tblGrid>
        <w:gridCol w:w="4815"/>
        <w:gridCol w:w="33"/>
        <w:gridCol w:w="4782"/>
      </w:tblGrid>
      <w:tr w:rsidR="00076C11" w14:paraId="6E4501EA" w14:textId="77777777" w:rsidTr="00076C11">
        <w:tc>
          <w:tcPr>
            <w:tcW w:w="963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A4182D4" w14:textId="77777777" w:rsidR="00076C11" w:rsidRDefault="00076C11">
            <w:pPr>
              <w:pStyle w:val="Paragraphedeliste"/>
              <w:widowControl w:val="0"/>
              <w:ind w:left="0"/>
              <w:jc w:val="center"/>
              <w:rPr>
                <w:rFonts w:eastAsia="Calibri" w:cs="0"/>
                <w:kern w:val="0"/>
                <w:sz w:val="18"/>
                <w:szCs w:val="18"/>
                <w:lang w:eastAsia="en-US" w:bidi="ar-SA"/>
              </w:rPr>
            </w:pPr>
            <w:r>
              <w:rPr>
                <w:rFonts w:eastAsia="Calibri" w:cs="0"/>
                <w:kern w:val="0"/>
                <w:sz w:val="18"/>
                <w:szCs w:val="18"/>
                <w:lang w:eastAsia="en-US" w:bidi="ar-SA"/>
              </w:rPr>
              <w:t>FONCTIONNEMENT</w:t>
            </w:r>
          </w:p>
        </w:tc>
      </w:tr>
      <w:tr w:rsidR="00076C11" w14:paraId="56D2FEBC"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7545C" w14:textId="77777777" w:rsidR="00076C11" w:rsidRDefault="00076C11">
            <w:pPr>
              <w:pStyle w:val="Paragraphedeliste"/>
              <w:widowControl w:val="0"/>
              <w:ind w:left="0"/>
              <w:jc w:val="center"/>
              <w:rPr>
                <w:rFonts w:eastAsia="Calibri" w:cs="0"/>
                <w:b/>
                <w:kern w:val="0"/>
                <w:sz w:val="18"/>
                <w:szCs w:val="18"/>
                <w:lang w:eastAsia="en-US" w:bidi="ar-SA"/>
              </w:rPr>
            </w:pPr>
            <w:r>
              <w:rPr>
                <w:rFonts w:eastAsia="Calibri" w:cs="0"/>
                <w:b/>
                <w:kern w:val="0"/>
                <w:sz w:val="18"/>
                <w:szCs w:val="18"/>
                <w:lang w:eastAsia="en-US" w:bidi="ar-SA"/>
              </w:rPr>
              <w:t>Dépenses</w:t>
            </w: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C2C0E" w14:textId="77777777" w:rsidR="00076C11" w:rsidRDefault="00076C11">
            <w:pPr>
              <w:pStyle w:val="Paragraphedeliste"/>
              <w:widowControl w:val="0"/>
              <w:ind w:left="0"/>
              <w:jc w:val="center"/>
              <w:rPr>
                <w:rFonts w:eastAsia="Calibri" w:cs="0"/>
                <w:b/>
                <w:kern w:val="0"/>
                <w:sz w:val="18"/>
                <w:szCs w:val="18"/>
                <w:lang w:eastAsia="en-US" w:bidi="ar-SA"/>
              </w:rPr>
            </w:pPr>
            <w:r>
              <w:rPr>
                <w:rFonts w:eastAsia="Calibri" w:cs="0"/>
                <w:b/>
                <w:kern w:val="0"/>
                <w:sz w:val="18"/>
                <w:szCs w:val="18"/>
                <w:lang w:eastAsia="en-US" w:bidi="ar-SA"/>
              </w:rPr>
              <w:t>Recettes</w:t>
            </w:r>
          </w:p>
        </w:tc>
      </w:tr>
      <w:tr w:rsidR="00076C11" w14:paraId="14322904"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3507B"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Charges à caractère général                                     121 890 €</w:t>
            </w: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364E4"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Produits du domaine (</w:t>
            </w:r>
            <w:proofErr w:type="gramStart"/>
            <w:r>
              <w:rPr>
                <w:rFonts w:eastAsia="Calibri" w:cs="0"/>
                <w:kern w:val="0"/>
                <w:sz w:val="18"/>
                <w:szCs w:val="18"/>
                <w:lang w:eastAsia="en-US" w:bidi="ar-SA"/>
              </w:rPr>
              <w:t xml:space="preserve">bois)   </w:t>
            </w:r>
            <w:proofErr w:type="gramEnd"/>
            <w:r>
              <w:rPr>
                <w:rFonts w:eastAsia="Calibri" w:cs="0"/>
                <w:kern w:val="0"/>
                <w:sz w:val="18"/>
                <w:szCs w:val="18"/>
                <w:lang w:eastAsia="en-US" w:bidi="ar-SA"/>
              </w:rPr>
              <w:t xml:space="preserve">                               220 080  €   </w:t>
            </w:r>
          </w:p>
        </w:tc>
      </w:tr>
      <w:tr w:rsidR="00076C11" w14:paraId="77C84DFA"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C3C0B"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Charges de personnel                                                51 200 €</w:t>
            </w: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857AC"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 xml:space="preserve">Impôts locaux et taxes                                            50 422 € </w:t>
            </w:r>
          </w:p>
        </w:tc>
      </w:tr>
      <w:tr w:rsidR="00076C11" w14:paraId="1A151E95"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4709F"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Charges de gestion courante                                     61 910 €</w:t>
            </w: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166E4"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 xml:space="preserve">Dotations de l’Etat et participations                       32 259 €          </w:t>
            </w:r>
          </w:p>
        </w:tc>
      </w:tr>
      <w:tr w:rsidR="00076C11" w14:paraId="4283012E"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3073B"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Charges financières (</w:t>
            </w:r>
            <w:proofErr w:type="gramStart"/>
            <w:r>
              <w:rPr>
                <w:rFonts w:eastAsia="Calibri" w:cs="0"/>
                <w:kern w:val="0"/>
                <w:sz w:val="18"/>
                <w:szCs w:val="18"/>
                <w:lang w:eastAsia="en-US" w:bidi="ar-SA"/>
              </w:rPr>
              <w:t xml:space="preserve">intérêts)   </w:t>
            </w:r>
            <w:proofErr w:type="gramEnd"/>
            <w:r>
              <w:rPr>
                <w:rFonts w:eastAsia="Calibri" w:cs="0"/>
                <w:kern w:val="0"/>
                <w:sz w:val="18"/>
                <w:szCs w:val="18"/>
                <w:lang w:eastAsia="en-US" w:bidi="ar-SA"/>
              </w:rPr>
              <w:t xml:space="preserve">                                     640 €</w:t>
            </w: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938C1"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Produits gestion courante (</w:t>
            </w:r>
            <w:proofErr w:type="gramStart"/>
            <w:r>
              <w:rPr>
                <w:rFonts w:eastAsia="Calibri" w:cs="0"/>
                <w:kern w:val="0"/>
                <w:sz w:val="18"/>
                <w:szCs w:val="18"/>
                <w:lang w:eastAsia="en-US" w:bidi="ar-SA"/>
              </w:rPr>
              <w:t xml:space="preserve">locations)   </w:t>
            </w:r>
            <w:proofErr w:type="gramEnd"/>
            <w:r>
              <w:rPr>
                <w:rFonts w:eastAsia="Calibri" w:cs="0"/>
                <w:kern w:val="0"/>
                <w:sz w:val="18"/>
                <w:szCs w:val="18"/>
                <w:lang w:eastAsia="en-US" w:bidi="ar-SA"/>
              </w:rPr>
              <w:t xml:space="preserve">                  32 120 €</w:t>
            </w:r>
          </w:p>
        </w:tc>
      </w:tr>
      <w:tr w:rsidR="00076C11" w14:paraId="3FC72381"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11CF9"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Charges exceptionnelles                                                500 €</w:t>
            </w: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15F71"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Produits exceptionnels                                                135 €</w:t>
            </w:r>
          </w:p>
        </w:tc>
      </w:tr>
      <w:tr w:rsidR="00076C11" w14:paraId="139AF9C4"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9E135"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Virement à l’investissement                                      55 536 €</w:t>
            </w: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183D2"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 xml:space="preserve">Produits financiers                                                          4 €                      </w:t>
            </w:r>
          </w:p>
        </w:tc>
      </w:tr>
      <w:tr w:rsidR="00076C11" w14:paraId="3AFC8826" w14:textId="77777777" w:rsidTr="00076C11">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C8C06" w14:textId="77777777" w:rsidR="00076C11" w:rsidRDefault="00076C11">
            <w:pPr>
              <w:pStyle w:val="Paragraphedeliste"/>
              <w:widowControl w:val="0"/>
              <w:ind w:left="0"/>
              <w:rPr>
                <w:rFonts w:eastAsia="Calibri" w:cs="0"/>
                <w:kern w:val="0"/>
                <w:sz w:val="18"/>
                <w:szCs w:val="18"/>
                <w:lang w:eastAsia="en-US" w:bidi="ar-SA"/>
              </w:rPr>
            </w:pPr>
          </w:p>
        </w:tc>
        <w:tc>
          <w:tcPr>
            <w:tcW w:w="4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4A862" w14:textId="77777777" w:rsidR="00076C11" w:rsidRDefault="00076C11">
            <w:pPr>
              <w:pStyle w:val="Paragraphedeliste"/>
              <w:widowControl w:val="0"/>
              <w:ind w:left="0"/>
              <w:rPr>
                <w:rFonts w:eastAsia="Calibri" w:cs="0"/>
                <w:kern w:val="0"/>
                <w:sz w:val="18"/>
                <w:szCs w:val="18"/>
                <w:lang w:eastAsia="en-US" w:bidi="ar-SA"/>
              </w:rPr>
            </w:pPr>
            <w:r>
              <w:rPr>
                <w:rFonts w:eastAsia="Calibri" w:cs="0"/>
                <w:kern w:val="0"/>
                <w:sz w:val="18"/>
                <w:szCs w:val="18"/>
                <w:lang w:eastAsia="en-US" w:bidi="ar-SA"/>
              </w:rPr>
              <w:t xml:space="preserve">Excédent antérieur </w:t>
            </w:r>
            <w:proofErr w:type="gramStart"/>
            <w:r>
              <w:rPr>
                <w:rFonts w:eastAsia="Calibri" w:cs="0"/>
                <w:kern w:val="0"/>
                <w:sz w:val="18"/>
                <w:szCs w:val="18"/>
                <w:lang w:eastAsia="en-US" w:bidi="ar-SA"/>
              </w:rPr>
              <w:t>reporté  (</w:t>
            </w:r>
            <w:proofErr w:type="gramEnd"/>
            <w:r>
              <w:rPr>
                <w:rFonts w:eastAsia="Calibri" w:cs="0"/>
                <w:kern w:val="0"/>
                <w:sz w:val="18"/>
                <w:szCs w:val="18"/>
                <w:lang w:eastAsia="en-US" w:bidi="ar-SA"/>
              </w:rPr>
              <w:t xml:space="preserve">réserves)                 290 545,79 €                       </w:t>
            </w:r>
          </w:p>
        </w:tc>
      </w:tr>
      <w:tr w:rsidR="00076C11" w14:paraId="61E881AA" w14:textId="77777777" w:rsidTr="00076C11">
        <w:tc>
          <w:tcPr>
            <w:tcW w:w="4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4FFFDC3" w14:textId="77777777" w:rsidR="00076C11" w:rsidRDefault="00076C11">
            <w:pPr>
              <w:pStyle w:val="Paragraphedeliste"/>
              <w:widowControl w:val="0"/>
              <w:ind w:left="0"/>
              <w:rPr>
                <w:rFonts w:eastAsia="Calibri" w:cs="0"/>
                <w:b/>
                <w:kern w:val="0"/>
                <w:sz w:val="18"/>
                <w:szCs w:val="18"/>
                <w:lang w:eastAsia="en-US" w:bidi="ar-SA"/>
              </w:rPr>
            </w:pPr>
            <w:r>
              <w:rPr>
                <w:rFonts w:eastAsia="Calibri" w:cs="0"/>
                <w:b/>
                <w:kern w:val="0"/>
                <w:sz w:val="18"/>
                <w:szCs w:val="18"/>
                <w:lang w:eastAsia="en-US" w:bidi="ar-SA"/>
              </w:rPr>
              <w:t>TOTAL                                                                   291 676 €</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BB6E127" w14:textId="77777777" w:rsidR="00076C11" w:rsidRDefault="00076C11">
            <w:pPr>
              <w:pStyle w:val="Paragraphedeliste"/>
              <w:widowControl w:val="0"/>
              <w:ind w:left="0"/>
            </w:pPr>
            <w:r>
              <w:rPr>
                <w:rFonts w:eastAsia="Calibri" w:cs="0"/>
                <w:b/>
                <w:kern w:val="0"/>
                <w:sz w:val="18"/>
                <w:szCs w:val="18"/>
                <w:lang w:eastAsia="en-US" w:bidi="ar-SA"/>
              </w:rPr>
              <w:t xml:space="preserve">TOTAL   </w:t>
            </w:r>
            <w:r>
              <w:rPr>
                <w:rFonts w:eastAsia="Calibri" w:cs="0"/>
                <w:kern w:val="0"/>
                <w:sz w:val="18"/>
                <w:szCs w:val="18"/>
                <w:lang w:eastAsia="en-US" w:bidi="ar-SA"/>
              </w:rPr>
              <w:t xml:space="preserve">                                          </w:t>
            </w:r>
            <w:r>
              <w:rPr>
                <w:rFonts w:eastAsia="Calibri" w:cs="0"/>
                <w:b/>
                <w:bCs/>
                <w:kern w:val="0"/>
                <w:sz w:val="18"/>
                <w:szCs w:val="18"/>
                <w:lang w:eastAsia="en-US" w:bidi="ar-SA"/>
              </w:rPr>
              <w:t xml:space="preserve">                  625 565,79 €         </w:t>
            </w:r>
            <w:r>
              <w:rPr>
                <w:rFonts w:eastAsia="Calibri" w:cs="0"/>
                <w:kern w:val="0"/>
                <w:sz w:val="18"/>
                <w:szCs w:val="18"/>
                <w:lang w:eastAsia="en-US" w:bidi="ar-SA"/>
              </w:rPr>
              <w:t xml:space="preserve">        </w:t>
            </w:r>
          </w:p>
        </w:tc>
      </w:tr>
      <w:tr w:rsidR="00076C11" w14:paraId="6E432E37" w14:textId="77777777" w:rsidTr="00076C11">
        <w:tc>
          <w:tcPr>
            <w:tcW w:w="963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FC33133" w14:textId="77777777" w:rsidR="00076C11" w:rsidRDefault="00076C11">
            <w:pPr>
              <w:pStyle w:val="Standard"/>
              <w:widowControl w:val="0"/>
              <w:jc w:val="center"/>
              <w:rPr>
                <w:rFonts w:eastAsia="Calibri" w:cs="0"/>
                <w:kern w:val="0"/>
                <w:sz w:val="18"/>
                <w:szCs w:val="18"/>
                <w:lang w:eastAsia="en-US" w:bidi="ar-SA"/>
              </w:rPr>
            </w:pPr>
            <w:r>
              <w:rPr>
                <w:rFonts w:eastAsia="Calibri" w:cs="0"/>
                <w:kern w:val="0"/>
                <w:sz w:val="18"/>
                <w:szCs w:val="18"/>
                <w:lang w:eastAsia="en-US" w:bidi="ar-SA"/>
              </w:rPr>
              <w:t>INVESTISSEMENT</w:t>
            </w:r>
          </w:p>
        </w:tc>
      </w:tr>
      <w:tr w:rsidR="00076C11" w14:paraId="13E6256F" w14:textId="77777777" w:rsidTr="00076C11">
        <w:tc>
          <w:tcPr>
            <w:tcW w:w="4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0F921" w14:textId="77777777" w:rsidR="00076C11" w:rsidRDefault="00076C11">
            <w:pPr>
              <w:pStyle w:val="Standard"/>
              <w:widowControl w:val="0"/>
              <w:jc w:val="center"/>
              <w:rPr>
                <w:rFonts w:eastAsia="Calibri" w:cs="0"/>
                <w:b/>
                <w:kern w:val="0"/>
                <w:sz w:val="18"/>
                <w:szCs w:val="18"/>
                <w:lang w:eastAsia="en-US" w:bidi="ar-SA"/>
              </w:rPr>
            </w:pPr>
            <w:r>
              <w:rPr>
                <w:rFonts w:eastAsia="Calibri" w:cs="0"/>
                <w:b/>
                <w:kern w:val="0"/>
                <w:sz w:val="18"/>
                <w:szCs w:val="18"/>
                <w:lang w:eastAsia="en-US" w:bidi="ar-SA"/>
              </w:rPr>
              <w:t>Dépenses</w:t>
            </w: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2384A" w14:textId="77777777" w:rsidR="00076C11" w:rsidRDefault="00076C11">
            <w:pPr>
              <w:pStyle w:val="Standard"/>
              <w:widowControl w:val="0"/>
              <w:jc w:val="center"/>
              <w:rPr>
                <w:rFonts w:eastAsia="Calibri" w:cs="0"/>
                <w:b/>
                <w:kern w:val="0"/>
                <w:sz w:val="18"/>
                <w:szCs w:val="18"/>
                <w:lang w:eastAsia="en-US" w:bidi="ar-SA"/>
              </w:rPr>
            </w:pPr>
            <w:r>
              <w:rPr>
                <w:rFonts w:eastAsia="Calibri" w:cs="0"/>
                <w:b/>
                <w:kern w:val="0"/>
                <w:sz w:val="18"/>
                <w:szCs w:val="18"/>
                <w:lang w:eastAsia="en-US" w:bidi="ar-SA"/>
              </w:rPr>
              <w:t>Recettes</w:t>
            </w:r>
          </w:p>
        </w:tc>
      </w:tr>
      <w:tr w:rsidR="00076C11" w14:paraId="2D909FDD" w14:textId="77777777" w:rsidTr="00076C11">
        <w:tc>
          <w:tcPr>
            <w:tcW w:w="4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6CFCA" w14:textId="77777777" w:rsidR="00076C11" w:rsidRDefault="00076C11">
            <w:pPr>
              <w:pStyle w:val="Standard"/>
              <w:widowControl w:val="0"/>
              <w:jc w:val="both"/>
              <w:rPr>
                <w:rFonts w:eastAsia="Calibri" w:cs="0"/>
                <w:kern w:val="0"/>
                <w:sz w:val="18"/>
                <w:szCs w:val="18"/>
                <w:lang w:eastAsia="en-US" w:bidi="ar-SA"/>
              </w:rPr>
            </w:pPr>
            <w:r>
              <w:rPr>
                <w:rFonts w:eastAsia="Calibri" w:cs="0"/>
                <w:kern w:val="0"/>
                <w:sz w:val="18"/>
                <w:szCs w:val="18"/>
                <w:lang w:eastAsia="en-US" w:bidi="ar-SA"/>
              </w:rPr>
              <w:t>Emprunts (</w:t>
            </w:r>
            <w:proofErr w:type="gramStart"/>
            <w:r>
              <w:rPr>
                <w:rFonts w:eastAsia="Calibri" w:cs="0"/>
                <w:kern w:val="0"/>
                <w:sz w:val="18"/>
                <w:szCs w:val="18"/>
                <w:lang w:eastAsia="en-US" w:bidi="ar-SA"/>
              </w:rPr>
              <w:t xml:space="preserve">capital)   </w:t>
            </w:r>
            <w:proofErr w:type="gramEnd"/>
            <w:r>
              <w:rPr>
                <w:rFonts w:eastAsia="Calibri" w:cs="0"/>
                <w:kern w:val="0"/>
                <w:sz w:val="18"/>
                <w:szCs w:val="18"/>
                <w:lang w:eastAsia="en-US" w:bidi="ar-SA"/>
              </w:rPr>
              <w:t xml:space="preserve">                                                  28 400  €</w:t>
            </w: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E689F"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 xml:space="preserve">Subventions                                                         112 016 €              </w:t>
            </w:r>
          </w:p>
        </w:tc>
      </w:tr>
      <w:tr w:rsidR="00076C11" w14:paraId="6E34F3DB" w14:textId="77777777" w:rsidTr="00076C11">
        <w:tc>
          <w:tcPr>
            <w:tcW w:w="4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19DC1"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Travaux et achats                                                     151 772 €</w:t>
            </w: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DBEFD"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Cautions                                                                  2 500 €</w:t>
            </w:r>
          </w:p>
        </w:tc>
      </w:tr>
      <w:tr w:rsidR="00076C11" w14:paraId="2FE48812" w14:textId="77777777" w:rsidTr="00076C11">
        <w:tc>
          <w:tcPr>
            <w:tcW w:w="4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C13D2"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Solde antérieur reporté                                             77 241, 66€</w:t>
            </w: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10B20"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 xml:space="preserve">FCTVA                                                                   8 419 € </w:t>
            </w:r>
          </w:p>
        </w:tc>
      </w:tr>
      <w:tr w:rsidR="00076C11" w14:paraId="45742B55" w14:textId="77777777" w:rsidTr="00076C11">
        <w:tc>
          <w:tcPr>
            <w:tcW w:w="4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4D76A" w14:textId="77777777" w:rsidR="00076C11" w:rsidRDefault="00076C11">
            <w:pPr>
              <w:pStyle w:val="Standard"/>
              <w:widowControl w:val="0"/>
              <w:rPr>
                <w:rFonts w:eastAsia="Calibri" w:cs="0"/>
                <w:kern w:val="0"/>
                <w:sz w:val="18"/>
                <w:szCs w:val="18"/>
                <w:lang w:eastAsia="en-US" w:bidi="ar-SA"/>
              </w:rPr>
            </w:pP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900E6"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Dons pour Eglise                                                    1 701 €</w:t>
            </w:r>
          </w:p>
        </w:tc>
      </w:tr>
      <w:tr w:rsidR="00076C11" w14:paraId="57D99391" w14:textId="77777777" w:rsidTr="00076C11">
        <w:tc>
          <w:tcPr>
            <w:tcW w:w="4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F2310" w14:textId="77777777" w:rsidR="00076C11" w:rsidRDefault="00076C11">
            <w:pPr>
              <w:pStyle w:val="Standard"/>
              <w:widowControl w:val="0"/>
              <w:rPr>
                <w:rFonts w:eastAsia="Calibri" w:cs="0"/>
                <w:kern w:val="0"/>
                <w:sz w:val="18"/>
                <w:szCs w:val="18"/>
                <w:lang w:eastAsia="en-US" w:bidi="ar-SA"/>
              </w:rPr>
            </w:pP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0E5B8"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Virement du fonctionnement                                 55 536 €</w:t>
            </w:r>
          </w:p>
        </w:tc>
      </w:tr>
      <w:tr w:rsidR="00076C11" w14:paraId="7E9CBCA4" w14:textId="77777777" w:rsidTr="00076C11">
        <w:tc>
          <w:tcPr>
            <w:tcW w:w="485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0FF05B4" w14:textId="77777777" w:rsidR="00076C11" w:rsidRDefault="00076C11">
            <w:pPr>
              <w:pStyle w:val="Standard"/>
              <w:widowControl w:val="0"/>
              <w:rPr>
                <w:rFonts w:eastAsia="Calibri" w:cs="0"/>
                <w:kern w:val="0"/>
                <w:sz w:val="18"/>
                <w:szCs w:val="18"/>
                <w:lang w:eastAsia="en-US" w:bidi="ar-SA"/>
              </w:rPr>
            </w:pPr>
          </w:p>
        </w:tc>
        <w:tc>
          <w:tcPr>
            <w:tcW w:w="478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28AB709" w14:textId="77777777" w:rsidR="00076C11" w:rsidRDefault="00076C11">
            <w:pPr>
              <w:pStyle w:val="Standard"/>
              <w:widowControl w:val="0"/>
              <w:rPr>
                <w:rFonts w:eastAsia="Calibri" w:cs="0"/>
                <w:kern w:val="0"/>
                <w:sz w:val="18"/>
                <w:szCs w:val="18"/>
                <w:lang w:eastAsia="en-US" w:bidi="ar-SA"/>
              </w:rPr>
            </w:pPr>
            <w:r>
              <w:rPr>
                <w:rFonts w:eastAsia="Calibri" w:cs="0"/>
                <w:kern w:val="0"/>
                <w:sz w:val="18"/>
                <w:szCs w:val="18"/>
                <w:lang w:eastAsia="en-US" w:bidi="ar-SA"/>
              </w:rPr>
              <w:t>Excédent fonctionnement capitalisé                     77 241,66 €</w:t>
            </w:r>
          </w:p>
        </w:tc>
      </w:tr>
      <w:tr w:rsidR="00076C11" w14:paraId="082B497D" w14:textId="77777777" w:rsidTr="00076C11">
        <w:tc>
          <w:tcPr>
            <w:tcW w:w="48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DFDE0C1" w14:textId="77777777" w:rsidR="00076C11" w:rsidRDefault="00076C11">
            <w:pPr>
              <w:pStyle w:val="Standard"/>
              <w:widowControl w:val="0"/>
              <w:rPr>
                <w:rFonts w:eastAsia="Calibri" w:cs="0"/>
                <w:b/>
                <w:kern w:val="0"/>
                <w:sz w:val="18"/>
                <w:szCs w:val="18"/>
                <w:lang w:eastAsia="en-US" w:bidi="ar-SA"/>
              </w:rPr>
            </w:pPr>
            <w:r>
              <w:rPr>
                <w:rFonts w:eastAsia="Calibri" w:cs="0"/>
                <w:b/>
                <w:kern w:val="0"/>
                <w:sz w:val="18"/>
                <w:szCs w:val="18"/>
                <w:lang w:eastAsia="en-US" w:bidi="ar-SA"/>
              </w:rPr>
              <w:t xml:space="preserve">TOTAL                                                                257 413, 66 €   </w:t>
            </w:r>
          </w:p>
        </w:tc>
        <w:tc>
          <w:tcPr>
            <w:tcW w:w="4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A42BA5" w14:textId="77777777" w:rsidR="00076C11" w:rsidRDefault="00076C11">
            <w:pPr>
              <w:pStyle w:val="Standard"/>
              <w:widowControl w:val="0"/>
              <w:rPr>
                <w:rFonts w:eastAsia="Calibri" w:cs="0"/>
                <w:b/>
                <w:kern w:val="0"/>
                <w:sz w:val="18"/>
                <w:szCs w:val="18"/>
                <w:lang w:eastAsia="en-US" w:bidi="ar-SA"/>
              </w:rPr>
            </w:pPr>
            <w:r>
              <w:rPr>
                <w:rFonts w:eastAsia="Calibri" w:cs="0"/>
                <w:b/>
                <w:kern w:val="0"/>
                <w:sz w:val="18"/>
                <w:szCs w:val="18"/>
                <w:lang w:eastAsia="en-US" w:bidi="ar-SA"/>
              </w:rPr>
              <w:t>TOTAL                                                               257 413,66 €</w:t>
            </w:r>
          </w:p>
        </w:tc>
      </w:tr>
    </w:tbl>
    <w:p w14:paraId="7FAEED4A" w14:textId="77777777" w:rsidR="00076C11" w:rsidRDefault="00076C11" w:rsidP="00076C11">
      <w:pPr>
        <w:pStyle w:val="Paragraphedeliste"/>
        <w:widowControl w:val="0"/>
        <w:tabs>
          <w:tab w:val="left" w:pos="76"/>
        </w:tabs>
        <w:spacing w:line="276" w:lineRule="auto"/>
        <w:ind w:left="218"/>
        <w:jc w:val="both"/>
        <w:rPr>
          <w:sz w:val="16"/>
          <w:szCs w:val="16"/>
        </w:rPr>
      </w:pPr>
    </w:p>
    <w:p w14:paraId="74D22884" w14:textId="77777777" w:rsidR="00076C11" w:rsidRDefault="00076C11" w:rsidP="00076C11">
      <w:pPr>
        <w:pStyle w:val="Paragraphedeliste"/>
        <w:widowControl w:val="0"/>
        <w:tabs>
          <w:tab w:val="left" w:pos="76"/>
        </w:tabs>
        <w:spacing w:line="276" w:lineRule="auto"/>
        <w:ind w:left="218"/>
        <w:jc w:val="both"/>
      </w:pPr>
      <w:r>
        <w:rPr>
          <w:b/>
          <w:bCs/>
        </w:rPr>
        <w:t>Principaux travaux et achats</w:t>
      </w:r>
      <w:r>
        <w:t> :</w:t>
      </w:r>
    </w:p>
    <w:p w14:paraId="3D693AE0" w14:textId="77777777" w:rsidR="00076C11" w:rsidRDefault="00076C11" w:rsidP="00076C11">
      <w:pPr>
        <w:pStyle w:val="Paragraphedeliste"/>
        <w:widowControl w:val="0"/>
        <w:tabs>
          <w:tab w:val="left" w:pos="76"/>
        </w:tabs>
        <w:spacing w:line="276" w:lineRule="auto"/>
        <w:ind w:left="218"/>
        <w:jc w:val="both"/>
      </w:pPr>
      <w:r>
        <w:t>Achats de terrains pour lotissement : 48 000€ - Enfouissement ligne électrique : 10 900 €</w:t>
      </w:r>
    </w:p>
    <w:p w14:paraId="09048503" w14:textId="77777777" w:rsidR="00076C11" w:rsidRDefault="00076C11" w:rsidP="00076C11">
      <w:pPr>
        <w:pStyle w:val="Paragraphedeliste"/>
        <w:widowControl w:val="0"/>
        <w:tabs>
          <w:tab w:val="left" w:pos="76"/>
        </w:tabs>
        <w:spacing w:line="276" w:lineRule="auto"/>
        <w:ind w:left="218"/>
        <w:jc w:val="both"/>
      </w:pPr>
      <w:r>
        <w:t>Travaux cour château (béton désactivé) : 10 250 € - Achat tracteur tondeuse : 6 600 €</w:t>
      </w:r>
    </w:p>
    <w:p w14:paraId="0D6F6B35" w14:textId="77777777" w:rsidR="00076C11" w:rsidRDefault="00076C11" w:rsidP="00076C11">
      <w:pPr>
        <w:pStyle w:val="Paragraphedeliste"/>
        <w:widowControl w:val="0"/>
        <w:tabs>
          <w:tab w:val="left" w:pos="76"/>
        </w:tabs>
        <w:spacing w:line="276" w:lineRule="auto"/>
        <w:ind w:left="218"/>
        <w:jc w:val="both"/>
      </w:pPr>
      <w:r>
        <w:t>Engazonnement cimetière : 22 500 € (15 000 € pour Jasney)</w:t>
      </w:r>
    </w:p>
    <w:p w14:paraId="06707CB1" w14:textId="77777777" w:rsidR="00076C11" w:rsidRDefault="00076C11" w:rsidP="00076C11">
      <w:pPr>
        <w:pStyle w:val="Paragraphedeliste"/>
        <w:widowControl w:val="0"/>
        <w:tabs>
          <w:tab w:val="left" w:pos="76"/>
        </w:tabs>
        <w:spacing w:line="276" w:lineRule="auto"/>
        <w:ind w:left="218"/>
        <w:jc w:val="both"/>
      </w:pPr>
      <w:r>
        <w:t xml:space="preserve">Panneaux patrimoine et circuits pédestres et VTT : 7 300 € </w:t>
      </w:r>
    </w:p>
    <w:p w14:paraId="246C3AC4" w14:textId="77777777" w:rsidR="00076C11" w:rsidRDefault="00076C11" w:rsidP="00076C11">
      <w:pPr>
        <w:pStyle w:val="Paragraphedeliste"/>
        <w:widowControl w:val="0"/>
        <w:tabs>
          <w:tab w:val="left" w:pos="76"/>
        </w:tabs>
        <w:spacing w:line="276" w:lineRule="auto"/>
        <w:ind w:left="218"/>
        <w:jc w:val="both"/>
      </w:pPr>
      <w:r>
        <w:t>Travaux sylvicoles (2023 et 2024) : 37 000 €</w:t>
      </w:r>
    </w:p>
    <w:p w14:paraId="671727F9" w14:textId="77777777" w:rsidR="00076C11" w:rsidRDefault="00076C11" w:rsidP="00076C11">
      <w:pPr>
        <w:pStyle w:val="Paragraphedeliste"/>
        <w:widowControl w:val="0"/>
        <w:tabs>
          <w:tab w:val="left" w:pos="76"/>
        </w:tabs>
        <w:spacing w:line="276" w:lineRule="auto"/>
        <w:ind w:left="218"/>
        <w:jc w:val="both"/>
      </w:pPr>
    </w:p>
    <w:p w14:paraId="7E657330" w14:textId="77777777" w:rsidR="00076C11" w:rsidRDefault="00076C11" w:rsidP="00076C11">
      <w:pPr>
        <w:pStyle w:val="Standard"/>
        <w:tabs>
          <w:tab w:val="left" w:pos="-142"/>
        </w:tabs>
        <w:spacing w:line="276" w:lineRule="auto"/>
        <w:jc w:val="both"/>
      </w:pPr>
      <w:r>
        <w:t xml:space="preserve">Le budget primitif 2024 est adopté </w:t>
      </w:r>
      <w:r>
        <w:rPr>
          <w:b/>
        </w:rPr>
        <w:t>à l’unanimité</w:t>
      </w:r>
      <w:r>
        <w:t>.</w:t>
      </w:r>
    </w:p>
    <w:p w14:paraId="150102AF" w14:textId="77777777" w:rsidR="00076C11" w:rsidRDefault="00076C11" w:rsidP="00076C11">
      <w:pPr>
        <w:pStyle w:val="Standard"/>
        <w:tabs>
          <w:tab w:val="left" w:pos="-142"/>
        </w:tabs>
        <w:spacing w:line="276" w:lineRule="auto"/>
        <w:jc w:val="both"/>
      </w:pPr>
    </w:p>
    <w:p w14:paraId="62D0ABFE" w14:textId="77777777" w:rsidR="00076C11" w:rsidRDefault="00076C11" w:rsidP="00076C11">
      <w:pPr>
        <w:pStyle w:val="Paragraphedeliste"/>
        <w:numPr>
          <w:ilvl w:val="0"/>
          <w:numId w:val="3"/>
        </w:numPr>
        <w:tabs>
          <w:tab w:val="left" w:pos="3590"/>
        </w:tabs>
        <w:spacing w:line="276" w:lineRule="auto"/>
        <w:jc w:val="both"/>
      </w:pPr>
      <w:r>
        <w:rPr>
          <w:b/>
          <w:u w:val="single"/>
        </w:rPr>
        <w:t>Budget primitif 2024 de l’assainissement</w:t>
      </w:r>
      <w:r>
        <w:rPr>
          <w:b/>
        </w:rPr>
        <w:t> :</w:t>
      </w:r>
    </w:p>
    <w:p w14:paraId="7A6326DB" w14:textId="77777777" w:rsidR="00076C11" w:rsidRDefault="00076C11" w:rsidP="00076C11">
      <w:pPr>
        <w:tabs>
          <w:tab w:val="left" w:pos="1582"/>
        </w:tabs>
        <w:spacing w:line="276" w:lineRule="auto"/>
        <w:ind w:left="218"/>
        <w:jc w:val="both"/>
      </w:pPr>
    </w:p>
    <w:p w14:paraId="48D69BDD" w14:textId="77777777" w:rsidR="00076C11" w:rsidRDefault="00076C11" w:rsidP="00076C11">
      <w:pPr>
        <w:tabs>
          <w:tab w:val="left" w:pos="1582"/>
        </w:tabs>
        <w:spacing w:line="276" w:lineRule="auto"/>
        <w:jc w:val="both"/>
      </w:pPr>
      <w:r>
        <w:t xml:space="preserve">Le traitement du dossier (réseau séparatif et construction d’une nouvelle station d’épuration) a pris du retard et son instruction par la Police de l’Eau est en cours. La date de début des travaux n’est pas encore fixée et des ajustements doivent encore se faire au niveau des prêts bancaires. C’est pourquoi, </w:t>
      </w:r>
      <w:r>
        <w:rPr>
          <w:b/>
          <w:bCs/>
        </w:rPr>
        <w:t xml:space="preserve">aucune somme concernant les futurs travaux </w:t>
      </w:r>
      <w:proofErr w:type="gramStart"/>
      <w:r>
        <w:rPr>
          <w:b/>
          <w:bCs/>
        </w:rPr>
        <w:t>d’assainissement  n’est</w:t>
      </w:r>
      <w:proofErr w:type="gramEnd"/>
      <w:r>
        <w:rPr>
          <w:b/>
          <w:bCs/>
        </w:rPr>
        <w:t xml:space="preserve"> inscrite au budget primitif. </w:t>
      </w:r>
      <w:r>
        <w:t>Des décisions modificatives budgétaires seront prises lorsque la commune aura plus de lisibilité sur l’ensemble du projet.</w:t>
      </w:r>
    </w:p>
    <w:p w14:paraId="6C26544F" w14:textId="77777777" w:rsidR="00076C11" w:rsidRDefault="00076C11" w:rsidP="00076C11">
      <w:pPr>
        <w:tabs>
          <w:tab w:val="left" w:pos="1582"/>
        </w:tabs>
        <w:spacing w:line="276" w:lineRule="auto"/>
        <w:jc w:val="both"/>
      </w:pPr>
    </w:p>
    <w:p w14:paraId="157D518A" w14:textId="77777777" w:rsidR="00076C11" w:rsidRDefault="00076C11" w:rsidP="00076C11">
      <w:pPr>
        <w:tabs>
          <w:tab w:val="left" w:pos="1582"/>
        </w:tabs>
        <w:spacing w:line="276" w:lineRule="auto"/>
        <w:jc w:val="both"/>
      </w:pPr>
    </w:p>
    <w:p w14:paraId="03ADD1E9" w14:textId="77777777" w:rsidR="00076C11" w:rsidRDefault="00076C11" w:rsidP="00076C11">
      <w:pPr>
        <w:tabs>
          <w:tab w:val="left" w:pos="1582"/>
        </w:tabs>
        <w:spacing w:line="276" w:lineRule="auto"/>
        <w:jc w:val="both"/>
      </w:pPr>
    </w:p>
    <w:p w14:paraId="3E5A82A7" w14:textId="77777777" w:rsidR="00076C11" w:rsidRDefault="00076C11" w:rsidP="00076C11">
      <w:pPr>
        <w:tabs>
          <w:tab w:val="left" w:pos="1582"/>
        </w:tabs>
        <w:spacing w:line="276" w:lineRule="auto"/>
        <w:jc w:val="both"/>
      </w:pPr>
    </w:p>
    <w:p w14:paraId="3153248C" w14:textId="77777777" w:rsidR="00076C11" w:rsidRDefault="00076C11" w:rsidP="00076C11">
      <w:pPr>
        <w:tabs>
          <w:tab w:val="left" w:pos="1582"/>
        </w:tabs>
        <w:spacing w:line="276" w:lineRule="auto"/>
        <w:jc w:val="both"/>
      </w:pPr>
      <w:r>
        <w:t>La prévision des dépenses et des recettes est la suivante :</w:t>
      </w:r>
    </w:p>
    <w:p w14:paraId="5DADED91" w14:textId="77777777" w:rsidR="00076C11" w:rsidRDefault="00076C11" w:rsidP="00076C11">
      <w:pPr>
        <w:tabs>
          <w:tab w:val="left" w:pos="1582"/>
        </w:tabs>
        <w:spacing w:line="276" w:lineRule="auto"/>
        <w:jc w:val="both"/>
      </w:pPr>
      <w:r>
        <w:rPr>
          <w:b/>
          <w:bCs/>
        </w:rPr>
        <w:t>Section d’exploitation</w:t>
      </w:r>
      <w:r>
        <w:t> :</w:t>
      </w:r>
    </w:p>
    <w:p w14:paraId="747FC44A" w14:textId="77777777" w:rsidR="00076C11" w:rsidRDefault="00076C11" w:rsidP="00076C11">
      <w:pPr>
        <w:tabs>
          <w:tab w:val="left" w:pos="1582"/>
        </w:tabs>
        <w:spacing w:line="276" w:lineRule="auto"/>
        <w:jc w:val="both"/>
      </w:pPr>
      <w:r>
        <w:t>Dépenses : 14 390 € - Recettes : 47 836 € (dont 32 836,34 € de résultat reporté)</w:t>
      </w:r>
    </w:p>
    <w:p w14:paraId="649A4B4F" w14:textId="77777777" w:rsidR="00076C11" w:rsidRDefault="00076C11" w:rsidP="00076C11">
      <w:pPr>
        <w:tabs>
          <w:tab w:val="left" w:pos="1582"/>
        </w:tabs>
        <w:spacing w:line="276" w:lineRule="auto"/>
        <w:jc w:val="both"/>
      </w:pPr>
      <w:r>
        <w:rPr>
          <w:b/>
          <w:bCs/>
        </w:rPr>
        <w:t>Section d’investissement</w:t>
      </w:r>
      <w:r>
        <w:t> :</w:t>
      </w:r>
    </w:p>
    <w:p w14:paraId="0E47FC6E" w14:textId="77777777" w:rsidR="00076C11" w:rsidRDefault="00076C11" w:rsidP="00076C11">
      <w:pPr>
        <w:tabs>
          <w:tab w:val="left" w:pos="1582"/>
        </w:tabs>
        <w:spacing w:line="276" w:lineRule="auto"/>
        <w:jc w:val="both"/>
      </w:pPr>
      <w:r>
        <w:t>Dépenses : 11 000 € - Recettes : 44 515, 92 € (dont 27 185,92€ d’excédent reporté)</w:t>
      </w:r>
    </w:p>
    <w:p w14:paraId="7AABBC8F" w14:textId="77777777" w:rsidR="00076C11" w:rsidRDefault="00076C11" w:rsidP="00076C11">
      <w:pPr>
        <w:pStyle w:val="Standard"/>
      </w:pPr>
    </w:p>
    <w:p w14:paraId="296DA76C" w14:textId="77777777" w:rsidR="00076C11" w:rsidRDefault="00076C11" w:rsidP="00076C11">
      <w:pPr>
        <w:pStyle w:val="Standard"/>
      </w:pPr>
      <w:r>
        <w:t xml:space="preserve">Le conseil municipal adopte ce budget </w:t>
      </w:r>
      <w:r>
        <w:rPr>
          <w:b/>
        </w:rPr>
        <w:t>à l’unanimité</w:t>
      </w:r>
      <w:r>
        <w:t>.</w:t>
      </w:r>
    </w:p>
    <w:p w14:paraId="6EBC9C3E" w14:textId="77777777" w:rsidR="00076C11" w:rsidRDefault="00076C11" w:rsidP="00076C11">
      <w:pPr>
        <w:pStyle w:val="Standard"/>
      </w:pPr>
    </w:p>
    <w:p w14:paraId="54C2F7B3" w14:textId="77777777" w:rsidR="00076C11" w:rsidRDefault="00076C11" w:rsidP="00076C11">
      <w:pPr>
        <w:pStyle w:val="Standard"/>
        <w:ind w:left="-170"/>
      </w:pPr>
    </w:p>
    <w:p w14:paraId="56A56D8F" w14:textId="77777777" w:rsidR="00076C11" w:rsidRDefault="00076C11" w:rsidP="00076C11">
      <w:pPr>
        <w:pStyle w:val="Standard"/>
        <w:numPr>
          <w:ilvl w:val="0"/>
          <w:numId w:val="3"/>
        </w:numPr>
        <w:rPr>
          <w:b/>
          <w:bCs/>
          <w:u w:val="single"/>
        </w:rPr>
      </w:pPr>
      <w:r>
        <w:rPr>
          <w:b/>
          <w:bCs/>
          <w:u w:val="single"/>
        </w:rPr>
        <w:t>Taxes locales :</w:t>
      </w:r>
    </w:p>
    <w:p w14:paraId="2368F77E" w14:textId="77777777" w:rsidR="00076C11" w:rsidRDefault="00076C11" w:rsidP="00076C11">
      <w:pPr>
        <w:pStyle w:val="Standard"/>
        <w:rPr>
          <w:b/>
          <w:bCs/>
          <w:u w:val="single"/>
        </w:rPr>
      </w:pPr>
    </w:p>
    <w:p w14:paraId="0CEB6FDF" w14:textId="77777777" w:rsidR="00076C11" w:rsidRDefault="00076C11" w:rsidP="00076C11">
      <w:pPr>
        <w:pStyle w:val="Standard"/>
      </w:pPr>
      <w:r>
        <w:t xml:space="preserve">La commune n’a pas fait évoluer ses taux depuis 2016. </w:t>
      </w:r>
      <w:r>
        <w:rPr>
          <w:b/>
          <w:bCs/>
        </w:rPr>
        <w:t>L’effort fiscal de la commune est pris en compte dans l’attribution par l’Etat de dotations et de subventions</w:t>
      </w:r>
      <w:r>
        <w:t xml:space="preserve">. Pour que la commune reste dans la 2ème tranche d’effort fiscal, le conseil décide </w:t>
      </w:r>
      <w:r>
        <w:rPr>
          <w:b/>
          <w:bCs/>
        </w:rPr>
        <w:t>une légère augmentation (5%)</w:t>
      </w:r>
      <w:r>
        <w:t xml:space="preserve"> des taux de la taxe foncière et les fixe comme suit :</w:t>
      </w:r>
    </w:p>
    <w:p w14:paraId="3F2F8259" w14:textId="77777777" w:rsidR="00076C11" w:rsidRDefault="00076C11" w:rsidP="00076C11">
      <w:pPr>
        <w:pStyle w:val="Standard"/>
      </w:pPr>
      <w:r>
        <w:t xml:space="preserve">Taxe sur le Foncier Bâti : </w:t>
      </w:r>
      <w:r>
        <w:rPr>
          <w:b/>
          <w:bCs/>
        </w:rPr>
        <w:t>35,70 %</w:t>
      </w:r>
      <w:r>
        <w:t xml:space="preserve"> - Taxe sur le Foncier Non Bâti : </w:t>
      </w:r>
      <w:r>
        <w:rPr>
          <w:b/>
          <w:bCs/>
        </w:rPr>
        <w:t>26,77 %</w:t>
      </w:r>
    </w:p>
    <w:p w14:paraId="1CA85CFC" w14:textId="77777777" w:rsidR="00076C11" w:rsidRDefault="00076C11" w:rsidP="00076C11">
      <w:pPr>
        <w:pStyle w:val="Standard"/>
        <w:ind w:left="-170"/>
      </w:pPr>
      <w:r>
        <w:t xml:space="preserve">  </w:t>
      </w:r>
    </w:p>
    <w:p w14:paraId="0204026C" w14:textId="77777777" w:rsidR="00076C11" w:rsidRDefault="00076C11" w:rsidP="00076C11">
      <w:pPr>
        <w:pStyle w:val="Standard"/>
        <w:ind w:left="-170"/>
        <w:rPr>
          <w:b/>
          <w:bCs/>
        </w:rPr>
      </w:pPr>
      <w:r>
        <w:rPr>
          <w:b/>
          <w:bCs/>
        </w:rPr>
        <w:t xml:space="preserve"> A noter cette année que la hausse des bases cadastrales décidée par les services fiscaux sera de 3,9 %.</w:t>
      </w:r>
    </w:p>
    <w:p w14:paraId="6EDD98A9" w14:textId="77777777" w:rsidR="00076C11" w:rsidRDefault="00076C11" w:rsidP="00076C11">
      <w:pPr>
        <w:pStyle w:val="Standard"/>
        <w:ind w:left="-170"/>
      </w:pPr>
    </w:p>
    <w:p w14:paraId="46368AC6" w14:textId="77777777" w:rsidR="00076C11" w:rsidRDefault="00076C11" w:rsidP="00076C11">
      <w:pPr>
        <w:pStyle w:val="Standard"/>
        <w:numPr>
          <w:ilvl w:val="0"/>
          <w:numId w:val="3"/>
        </w:numPr>
      </w:pPr>
      <w:r>
        <w:rPr>
          <w:b/>
          <w:bCs/>
          <w:u w:val="single"/>
        </w:rPr>
        <w:t>Travaux sylvicoles</w:t>
      </w:r>
      <w:r>
        <w:rPr>
          <w:b/>
          <w:bCs/>
        </w:rPr>
        <w:t xml:space="preserve"> :</w:t>
      </w:r>
    </w:p>
    <w:p w14:paraId="3576B6C1" w14:textId="77777777" w:rsidR="00076C11" w:rsidRDefault="00076C11" w:rsidP="00076C11">
      <w:pPr>
        <w:pStyle w:val="Standard"/>
      </w:pPr>
    </w:p>
    <w:p w14:paraId="264DE860" w14:textId="77777777" w:rsidR="00076C11" w:rsidRDefault="00076C11" w:rsidP="00076C11">
      <w:pPr>
        <w:pStyle w:val="Standard"/>
        <w:ind w:left="-170"/>
      </w:pPr>
      <w:r>
        <w:t xml:space="preserve">Le conseil retient </w:t>
      </w:r>
      <w:r>
        <w:rPr>
          <w:b/>
          <w:bCs/>
        </w:rPr>
        <w:t>la priorité 1</w:t>
      </w:r>
      <w:r>
        <w:t xml:space="preserve"> de la liste des travaux sylvicoles présentée par l’ONF. Des dégagements manuels de régénérations naturelles et des nettoiements seront effectués dans les parcelles 42r, 43r, 47r et 51r pour la somme de </w:t>
      </w:r>
      <w:r>
        <w:rPr>
          <w:b/>
          <w:bCs/>
        </w:rPr>
        <w:t>14 810 € HT</w:t>
      </w:r>
      <w:r>
        <w:t>.</w:t>
      </w:r>
    </w:p>
    <w:p w14:paraId="15D871AF" w14:textId="77777777" w:rsidR="00076C11" w:rsidRDefault="00076C11" w:rsidP="00076C11">
      <w:pPr>
        <w:pStyle w:val="Standard"/>
        <w:ind w:left="-170"/>
      </w:pPr>
    </w:p>
    <w:p w14:paraId="2B8E1301" w14:textId="77777777" w:rsidR="00076C11" w:rsidRDefault="00076C11" w:rsidP="00076C11">
      <w:pPr>
        <w:pStyle w:val="Standard"/>
        <w:numPr>
          <w:ilvl w:val="0"/>
          <w:numId w:val="3"/>
        </w:numPr>
      </w:pPr>
      <w:r>
        <w:rPr>
          <w:b/>
          <w:bCs/>
          <w:u w:val="single"/>
        </w:rPr>
        <w:t>Questions diverses</w:t>
      </w:r>
      <w:r>
        <w:rPr>
          <w:b/>
          <w:bCs/>
        </w:rPr>
        <w:t> :</w:t>
      </w:r>
    </w:p>
    <w:p w14:paraId="047BCB55" w14:textId="77777777" w:rsidR="00076C11" w:rsidRDefault="00076C11" w:rsidP="00076C11">
      <w:pPr>
        <w:pStyle w:val="Standard"/>
        <w:ind w:left="-170"/>
        <w:jc w:val="center"/>
      </w:pPr>
    </w:p>
    <w:p w14:paraId="1C3437AD" w14:textId="77777777" w:rsidR="00076C11" w:rsidRDefault="00076C11" w:rsidP="00076C11">
      <w:pPr>
        <w:pStyle w:val="Standard"/>
        <w:numPr>
          <w:ilvl w:val="0"/>
          <w:numId w:val="4"/>
        </w:numPr>
      </w:pPr>
      <w:r>
        <w:t xml:space="preserve">Le bureau </w:t>
      </w:r>
      <w:r>
        <w:rPr>
          <w:b/>
          <w:bCs/>
        </w:rPr>
        <w:t>des élections européennes du dimanche 9 Juin</w:t>
      </w:r>
      <w:r>
        <w:t xml:space="preserve"> 2024 (8h à 18 h) est constitué.</w:t>
      </w:r>
    </w:p>
    <w:p w14:paraId="1A489961" w14:textId="77777777" w:rsidR="00076C11" w:rsidRDefault="00076C11" w:rsidP="00076C11">
      <w:pPr>
        <w:pStyle w:val="Standard"/>
        <w:numPr>
          <w:ilvl w:val="0"/>
          <w:numId w:val="4"/>
        </w:numPr>
      </w:pPr>
      <w:r>
        <w:t xml:space="preserve">Le repas champêtre communal aura lieu </w:t>
      </w:r>
      <w:r>
        <w:rPr>
          <w:b/>
          <w:bCs/>
        </w:rPr>
        <w:t>le dimanche 5 Mai à partir de midi à la salle de la Clairette</w:t>
      </w:r>
      <w:r>
        <w:t xml:space="preserve">. Les participants devront s’inscrire </w:t>
      </w:r>
      <w:r>
        <w:rPr>
          <w:b/>
          <w:bCs/>
        </w:rPr>
        <w:t>au moyen du coupon en bas de l’Infos Jasney</w:t>
      </w:r>
      <w:r>
        <w:t>.</w:t>
      </w:r>
    </w:p>
    <w:p w14:paraId="6E30D42F" w14:textId="77777777" w:rsidR="00076C11" w:rsidRDefault="00076C11" w:rsidP="00076C11">
      <w:pPr>
        <w:pStyle w:val="Standard"/>
        <w:numPr>
          <w:ilvl w:val="0"/>
          <w:numId w:val="4"/>
        </w:numPr>
      </w:pPr>
      <w:r>
        <w:rPr>
          <w:b/>
          <w:bCs/>
        </w:rPr>
        <w:t>La commission communale du Patrimoine</w:t>
      </w:r>
      <w:r>
        <w:t xml:space="preserve"> se réunira </w:t>
      </w:r>
      <w:r>
        <w:rPr>
          <w:b/>
          <w:bCs/>
        </w:rPr>
        <w:t>le samedi 11 mai 2024 à 10h30</w:t>
      </w:r>
      <w:r>
        <w:t xml:space="preserve"> à la mairie. Les panneaux du parcours dans le village seront présentés et proposés à la relecture et aux suggestions des membres de la commission.</w:t>
      </w:r>
    </w:p>
    <w:p w14:paraId="624906E2" w14:textId="77777777" w:rsidR="00076C11" w:rsidRDefault="00076C11" w:rsidP="00076C11">
      <w:pPr>
        <w:pStyle w:val="Standard"/>
        <w:numPr>
          <w:ilvl w:val="0"/>
          <w:numId w:val="4"/>
        </w:numPr>
      </w:pPr>
      <w:r>
        <w:t xml:space="preserve">Laurent Garret est </w:t>
      </w:r>
      <w:r>
        <w:rPr>
          <w:b/>
          <w:bCs/>
        </w:rPr>
        <w:t>le nouveau correspondant local de l’Est républicain</w:t>
      </w:r>
      <w:r>
        <w:t xml:space="preserve"> pour les communes de Jasney, Girefontaine et Anjeux.</w:t>
      </w:r>
    </w:p>
    <w:p w14:paraId="2699F707" w14:textId="77777777" w:rsidR="00076C11" w:rsidRDefault="00076C11" w:rsidP="00076C11">
      <w:pPr>
        <w:pStyle w:val="Standard"/>
        <w:numPr>
          <w:ilvl w:val="0"/>
          <w:numId w:val="4"/>
        </w:numPr>
      </w:pPr>
      <w:r>
        <w:t xml:space="preserve">Une information est donnée par Mickael Boront sur le problème </w:t>
      </w:r>
      <w:r>
        <w:rPr>
          <w:b/>
          <w:bCs/>
        </w:rPr>
        <w:t>de la prolifération du frelon asiatique</w:t>
      </w:r>
      <w:r>
        <w:t xml:space="preserve"> sur l’ensemble du Département. Cet insecte constitue un danger pour la biodiversité et la population. </w:t>
      </w:r>
      <w:r>
        <w:rPr>
          <w:b/>
          <w:bCs/>
        </w:rPr>
        <w:t xml:space="preserve">Un arrêté préfectoral reconnaît sa dangerosité et impose la destruction des nids tant dans l’espace public que sur les propriétés privées. </w:t>
      </w:r>
      <w:r>
        <w:t>L’Union Apicole 70 propose des pièges adaptés et peu coûteux. Des informations ultérieures vous seront communiquées pour d’éventuelles commandes groupées.</w:t>
      </w:r>
    </w:p>
    <w:p w14:paraId="7BA682BC" w14:textId="77777777" w:rsidR="00076C11" w:rsidRDefault="00076C11" w:rsidP="00076C11">
      <w:pPr>
        <w:pStyle w:val="Standard"/>
      </w:pPr>
    </w:p>
    <w:p w14:paraId="3DF2532B" w14:textId="77777777" w:rsidR="00076C11" w:rsidRDefault="00076C11" w:rsidP="00076C11">
      <w:pPr>
        <w:pStyle w:val="Standard"/>
      </w:pPr>
    </w:p>
    <w:p w14:paraId="146D6F9E" w14:textId="77777777" w:rsidR="00076C11" w:rsidRDefault="00076C11" w:rsidP="00076C11">
      <w:pPr>
        <w:pStyle w:val="Standard"/>
      </w:pPr>
    </w:p>
    <w:p w14:paraId="455FAF74" w14:textId="77777777" w:rsidR="00076C11" w:rsidRDefault="00076C11" w:rsidP="00076C11">
      <w:pPr>
        <w:pStyle w:val="Standard"/>
      </w:pPr>
      <w:r>
        <w:lastRenderedPageBreak/>
        <w:t xml:space="preserve">                                      </w:t>
      </w:r>
    </w:p>
    <w:p w14:paraId="02DAD1AE" w14:textId="77777777" w:rsidR="00076C11" w:rsidRDefault="00076C11" w:rsidP="00076C11">
      <w:pPr>
        <w:pStyle w:val="Standard"/>
        <w:ind w:left="-170"/>
        <w:jc w:val="center"/>
      </w:pPr>
      <w:r>
        <w:t xml:space="preserve">                                                                          La séance est levée à 23h00</w:t>
      </w:r>
    </w:p>
    <w:p w14:paraId="1FAAC034" w14:textId="77777777" w:rsidR="00076C11" w:rsidRDefault="00076C11" w:rsidP="00076C11">
      <w:pPr>
        <w:pStyle w:val="Standard"/>
        <w:ind w:left="-170"/>
      </w:pPr>
    </w:p>
    <w:p w14:paraId="749C4303" w14:textId="77777777" w:rsidR="00076C11" w:rsidRDefault="00076C11" w:rsidP="00076C11">
      <w:pPr>
        <w:pStyle w:val="Standard"/>
        <w:ind w:left="-170"/>
        <w:rPr>
          <w:sz w:val="22"/>
          <w:szCs w:val="22"/>
        </w:rPr>
      </w:pPr>
    </w:p>
    <w:p w14:paraId="3CF2E3A7" w14:textId="77777777" w:rsidR="002E4201" w:rsidRPr="00076C11" w:rsidRDefault="002E4201" w:rsidP="00076C11"/>
    <w:sectPr w:rsidR="002E4201" w:rsidRPr="00076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0">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60FA3"/>
    <w:multiLevelType w:val="multilevel"/>
    <w:tmpl w:val="0CF46A0C"/>
    <w:lvl w:ilvl="0">
      <w:numFmt w:val="bullet"/>
      <w:lvlText w:val="-"/>
      <w:lvlJc w:val="left"/>
      <w:pPr>
        <w:ind w:left="190" w:hanging="360"/>
      </w:pPr>
      <w:rPr>
        <w:rFonts w:ascii="Liberation Serif" w:eastAsia="NSimSun" w:hAnsi="Liberation Serif" w:cs="Liberation Serif"/>
      </w:rPr>
    </w:lvl>
    <w:lvl w:ilvl="1">
      <w:numFmt w:val="bullet"/>
      <w:lvlText w:val="o"/>
      <w:lvlJc w:val="left"/>
      <w:pPr>
        <w:ind w:left="910" w:hanging="360"/>
      </w:pPr>
      <w:rPr>
        <w:rFonts w:ascii="Courier New" w:hAnsi="Courier New" w:cs="Courier New"/>
      </w:rPr>
    </w:lvl>
    <w:lvl w:ilvl="2">
      <w:numFmt w:val="bullet"/>
      <w:lvlText w:val=""/>
      <w:lvlJc w:val="left"/>
      <w:pPr>
        <w:ind w:left="1630" w:hanging="360"/>
      </w:pPr>
      <w:rPr>
        <w:rFonts w:ascii="Wingdings" w:hAnsi="Wingdings"/>
      </w:rPr>
    </w:lvl>
    <w:lvl w:ilvl="3">
      <w:numFmt w:val="bullet"/>
      <w:lvlText w:val=""/>
      <w:lvlJc w:val="left"/>
      <w:pPr>
        <w:ind w:left="2350" w:hanging="360"/>
      </w:pPr>
      <w:rPr>
        <w:rFonts w:ascii="Symbol" w:hAnsi="Symbol"/>
      </w:rPr>
    </w:lvl>
    <w:lvl w:ilvl="4">
      <w:numFmt w:val="bullet"/>
      <w:lvlText w:val="o"/>
      <w:lvlJc w:val="left"/>
      <w:pPr>
        <w:ind w:left="3070" w:hanging="360"/>
      </w:pPr>
      <w:rPr>
        <w:rFonts w:ascii="Courier New" w:hAnsi="Courier New" w:cs="Courier New"/>
      </w:rPr>
    </w:lvl>
    <w:lvl w:ilvl="5">
      <w:numFmt w:val="bullet"/>
      <w:lvlText w:val=""/>
      <w:lvlJc w:val="left"/>
      <w:pPr>
        <w:ind w:left="3790" w:hanging="360"/>
      </w:pPr>
      <w:rPr>
        <w:rFonts w:ascii="Wingdings" w:hAnsi="Wingdings"/>
      </w:rPr>
    </w:lvl>
    <w:lvl w:ilvl="6">
      <w:numFmt w:val="bullet"/>
      <w:lvlText w:val=""/>
      <w:lvlJc w:val="left"/>
      <w:pPr>
        <w:ind w:left="4510" w:hanging="360"/>
      </w:pPr>
      <w:rPr>
        <w:rFonts w:ascii="Symbol" w:hAnsi="Symbol"/>
      </w:rPr>
    </w:lvl>
    <w:lvl w:ilvl="7">
      <w:numFmt w:val="bullet"/>
      <w:lvlText w:val="o"/>
      <w:lvlJc w:val="left"/>
      <w:pPr>
        <w:ind w:left="5230" w:hanging="360"/>
      </w:pPr>
      <w:rPr>
        <w:rFonts w:ascii="Courier New" w:hAnsi="Courier New" w:cs="Courier New"/>
      </w:rPr>
    </w:lvl>
    <w:lvl w:ilvl="8">
      <w:numFmt w:val="bullet"/>
      <w:lvlText w:val=""/>
      <w:lvlJc w:val="left"/>
      <w:pPr>
        <w:ind w:left="5950" w:hanging="360"/>
      </w:pPr>
      <w:rPr>
        <w:rFonts w:ascii="Wingdings" w:hAnsi="Wingdings"/>
      </w:rPr>
    </w:lvl>
  </w:abstractNum>
  <w:abstractNum w:abstractNumId="1" w15:restartNumberingAfterBreak="0">
    <w:nsid w:val="57633165"/>
    <w:multiLevelType w:val="multilevel"/>
    <w:tmpl w:val="5E7651B2"/>
    <w:styleLink w:val="WWNum1"/>
    <w:lvl w:ilvl="0">
      <w:start w:val="1"/>
      <w:numFmt w:val="decimal"/>
      <w:lvlText w:val="%1)"/>
      <w:lvlJc w:val="left"/>
      <w:pPr>
        <w:ind w:left="218" w:hanging="360"/>
      </w:pPr>
      <w:rPr>
        <w:rFonts w:ascii="Liberation Serif" w:hAnsi="Liberation Serif"/>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21207945">
    <w:abstractNumId w:val="1"/>
  </w:num>
  <w:num w:numId="2" w16cid:durableId="2110811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714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0710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11"/>
    <w:rsid w:val="00076C11"/>
    <w:rsid w:val="002E4201"/>
    <w:rsid w:val="004F5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2B9B"/>
  <w15:chartTrackingRefBased/>
  <w15:docId w15:val="{5577AEB8-3343-4A37-A973-037320B6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11"/>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76C11"/>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styleId="Paragraphedeliste">
    <w:name w:val="List Paragraph"/>
    <w:basedOn w:val="Standard"/>
    <w:qFormat/>
    <w:rsid w:val="00076C11"/>
    <w:pPr>
      <w:ind w:left="720"/>
      <w:contextualSpacing/>
    </w:pPr>
  </w:style>
  <w:style w:type="numbering" w:customStyle="1" w:styleId="WWNum1">
    <w:name w:val="WWNum1"/>
    <w:rsid w:val="00076C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7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5176</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Garret</dc:creator>
  <cp:keywords/>
  <dc:description/>
  <cp:lastModifiedBy>Laurent Garret</cp:lastModifiedBy>
  <cp:revision>1</cp:revision>
  <dcterms:created xsi:type="dcterms:W3CDTF">2024-07-31T09:00:00Z</dcterms:created>
  <dcterms:modified xsi:type="dcterms:W3CDTF">2024-07-31T09:01:00Z</dcterms:modified>
</cp:coreProperties>
</file>