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144" w:rsidRPr="002D284B" w:rsidRDefault="00624144" w:rsidP="00624144">
      <w:pPr>
        <w:tabs>
          <w:tab w:val="left" w:pos="2410"/>
        </w:tabs>
        <w:spacing w:line="360" w:lineRule="auto"/>
        <w:jc w:val="both"/>
        <w:rPr>
          <w:b/>
          <w:sz w:val="28"/>
          <w:szCs w:val="22"/>
          <w:u w:val="single"/>
        </w:rPr>
      </w:pPr>
      <w:r w:rsidRPr="002D284B">
        <w:rPr>
          <w:b/>
          <w:sz w:val="28"/>
          <w:szCs w:val="22"/>
          <w:u w:val="single"/>
        </w:rPr>
        <w:t xml:space="preserve">REGLEMENT </w:t>
      </w:r>
    </w:p>
    <w:p w:rsidR="002D284B" w:rsidRPr="002D284B" w:rsidRDefault="00256111" w:rsidP="00624144">
      <w:pPr>
        <w:tabs>
          <w:tab w:val="left" w:pos="2410"/>
        </w:tabs>
        <w:spacing w:line="360" w:lineRule="auto"/>
        <w:jc w:val="both"/>
        <w:rPr>
          <w:b/>
          <w:sz w:val="28"/>
          <w:szCs w:val="22"/>
        </w:rPr>
      </w:pPr>
      <w:r>
        <w:rPr>
          <w:b/>
          <w:sz w:val="28"/>
          <w:szCs w:val="22"/>
        </w:rPr>
        <w:t>Coup de pouce jeunesse</w:t>
      </w:r>
    </w:p>
    <w:p w:rsidR="002D284B" w:rsidRDefault="00624144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624144">
        <w:rPr>
          <w:sz w:val="22"/>
          <w:szCs w:val="22"/>
        </w:rPr>
        <w:t xml:space="preserve">Le présent règlement précise les conditions d’éligibilité et d’attribution de l’aide </w:t>
      </w:r>
      <w:r w:rsidR="00256111">
        <w:rPr>
          <w:sz w:val="22"/>
          <w:szCs w:val="22"/>
        </w:rPr>
        <w:t>au coup de pouce jeunesse.</w:t>
      </w:r>
      <w:r w:rsidRPr="00624144">
        <w:rPr>
          <w:sz w:val="22"/>
          <w:szCs w:val="22"/>
        </w:rPr>
        <w:t xml:space="preserve"> </w:t>
      </w:r>
    </w:p>
    <w:p w:rsidR="002D284B" w:rsidRDefault="002D284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p w:rsidR="00624144" w:rsidRDefault="00624144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624144">
        <w:rPr>
          <w:b/>
          <w:sz w:val="22"/>
          <w:szCs w:val="22"/>
          <w:u w:val="single"/>
        </w:rPr>
        <w:t>Article 1 – Définition du dispositif</w:t>
      </w:r>
      <w:r w:rsidRPr="00624144">
        <w:rPr>
          <w:sz w:val="22"/>
          <w:szCs w:val="22"/>
        </w:rPr>
        <w:t xml:space="preserve"> </w:t>
      </w:r>
    </w:p>
    <w:p w:rsidR="002D284B" w:rsidRDefault="00624144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624144">
        <w:rPr>
          <w:sz w:val="22"/>
          <w:szCs w:val="22"/>
        </w:rPr>
        <w:t xml:space="preserve">Dans le cadre de sa politique jeunesse, la Ville de </w:t>
      </w:r>
      <w:r>
        <w:rPr>
          <w:sz w:val="22"/>
          <w:szCs w:val="22"/>
        </w:rPr>
        <w:t>Marchiennes</w:t>
      </w:r>
      <w:r w:rsidRPr="00624144">
        <w:rPr>
          <w:sz w:val="22"/>
          <w:szCs w:val="22"/>
        </w:rPr>
        <w:t xml:space="preserve"> accompagne les jeunes dans l’autonomie et l’insertion professionnelle. À ce titre, elle apporte un accompagnement financier au passage du </w:t>
      </w:r>
      <w:r w:rsidR="005C79C3">
        <w:rPr>
          <w:sz w:val="22"/>
          <w:szCs w:val="22"/>
        </w:rPr>
        <w:t>BAFA</w:t>
      </w:r>
      <w:r w:rsidR="00256111">
        <w:rPr>
          <w:sz w:val="22"/>
          <w:szCs w:val="22"/>
        </w:rPr>
        <w:t xml:space="preserve"> ou du permis de conduire</w:t>
      </w:r>
      <w:r w:rsidRPr="00624144">
        <w:rPr>
          <w:sz w:val="22"/>
          <w:szCs w:val="22"/>
        </w:rPr>
        <w:t xml:space="preserve"> à travers le dispositif « </w:t>
      </w:r>
      <w:r w:rsidR="005C79C3">
        <w:rPr>
          <w:sz w:val="22"/>
          <w:szCs w:val="22"/>
        </w:rPr>
        <w:t>Coup de pouce jeunesse</w:t>
      </w:r>
      <w:r w:rsidRPr="00624144">
        <w:rPr>
          <w:sz w:val="22"/>
          <w:szCs w:val="22"/>
        </w:rPr>
        <w:t xml:space="preserve"> ». Cette aide a pour objectif de favoriser la mobilité des jeunes </w:t>
      </w:r>
      <w:r>
        <w:rPr>
          <w:sz w:val="22"/>
          <w:szCs w:val="22"/>
        </w:rPr>
        <w:t>Marchiennoi</w:t>
      </w:r>
      <w:r w:rsidRPr="00624144">
        <w:rPr>
          <w:sz w:val="22"/>
          <w:szCs w:val="22"/>
        </w:rPr>
        <w:t xml:space="preserve">s via une aide financière de </w:t>
      </w:r>
      <w:r>
        <w:rPr>
          <w:sz w:val="22"/>
          <w:szCs w:val="22"/>
        </w:rPr>
        <w:t>300</w:t>
      </w:r>
      <w:r w:rsidRPr="00624144">
        <w:rPr>
          <w:sz w:val="22"/>
          <w:szCs w:val="22"/>
        </w:rPr>
        <w:t xml:space="preserve"> euros versée </w:t>
      </w:r>
      <w:r w:rsidR="00B32D68">
        <w:rPr>
          <w:sz w:val="22"/>
          <w:szCs w:val="22"/>
        </w:rPr>
        <w:t>au</w:t>
      </w:r>
      <w:r w:rsidR="00F77222">
        <w:rPr>
          <w:sz w:val="22"/>
          <w:szCs w:val="22"/>
        </w:rPr>
        <w:t xml:space="preserve"> </w:t>
      </w:r>
      <w:r w:rsidR="005C79C3">
        <w:rPr>
          <w:sz w:val="22"/>
          <w:szCs w:val="22"/>
        </w:rPr>
        <w:t xml:space="preserve"> centre de formation</w:t>
      </w:r>
      <w:r w:rsidRPr="00624144">
        <w:rPr>
          <w:sz w:val="22"/>
          <w:szCs w:val="22"/>
        </w:rPr>
        <w:t xml:space="preserve">. Chaque jeune ne peut bénéficier qu’une fois de l’aide </w:t>
      </w:r>
      <w:r w:rsidR="005C79C3">
        <w:rPr>
          <w:sz w:val="22"/>
          <w:szCs w:val="22"/>
        </w:rPr>
        <w:t>au « coup de pouce jeunesse »</w:t>
      </w:r>
      <w:r w:rsidRPr="00624144">
        <w:rPr>
          <w:sz w:val="22"/>
          <w:szCs w:val="22"/>
        </w:rPr>
        <w:t xml:space="preserve">. Ce soutien financier est accordé en échange d’un engagement citoyen réalisé au sein </w:t>
      </w:r>
      <w:r w:rsidR="00712F38">
        <w:rPr>
          <w:sz w:val="22"/>
          <w:szCs w:val="22"/>
        </w:rPr>
        <w:t xml:space="preserve">des services municipaux </w:t>
      </w:r>
      <w:r w:rsidRPr="00624144">
        <w:rPr>
          <w:sz w:val="22"/>
          <w:szCs w:val="22"/>
        </w:rPr>
        <w:t>d</w:t>
      </w:r>
      <w:r>
        <w:rPr>
          <w:sz w:val="22"/>
          <w:szCs w:val="22"/>
        </w:rPr>
        <w:t>e la mairie de Marchiennes</w:t>
      </w:r>
      <w:r w:rsidR="00712F38">
        <w:rPr>
          <w:sz w:val="22"/>
          <w:szCs w:val="22"/>
        </w:rPr>
        <w:t xml:space="preserve">. </w:t>
      </w:r>
      <w:r w:rsidRPr="00624144">
        <w:rPr>
          <w:sz w:val="22"/>
          <w:szCs w:val="22"/>
        </w:rPr>
        <w:t xml:space="preserve">Celui-ci permet également d’encourager les jeunes à s’impliquer bénévolement au profit de la vie citoyenne. </w:t>
      </w:r>
    </w:p>
    <w:p w:rsidR="002D284B" w:rsidRDefault="002D284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p w:rsidR="0007538B" w:rsidRDefault="00624144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07538B">
        <w:rPr>
          <w:b/>
          <w:sz w:val="22"/>
          <w:szCs w:val="22"/>
          <w:u w:val="single"/>
        </w:rPr>
        <w:t>Article 2 – Bénéficiaires</w:t>
      </w:r>
      <w:r w:rsidRPr="00624144">
        <w:rPr>
          <w:sz w:val="22"/>
          <w:szCs w:val="22"/>
        </w:rPr>
        <w:t xml:space="preserve"> </w:t>
      </w:r>
    </w:p>
    <w:p w:rsidR="0007538B" w:rsidRDefault="00256111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Le coup de pouce jeunesse</w:t>
      </w:r>
      <w:r w:rsidR="00624144" w:rsidRPr="00624144">
        <w:rPr>
          <w:sz w:val="22"/>
          <w:szCs w:val="22"/>
        </w:rPr>
        <w:t xml:space="preserve"> de la Ville de </w:t>
      </w:r>
      <w:r w:rsidR="0007538B">
        <w:rPr>
          <w:sz w:val="22"/>
          <w:szCs w:val="22"/>
        </w:rPr>
        <w:t>Marchiennes</w:t>
      </w:r>
      <w:r w:rsidR="00624144" w:rsidRPr="00624144">
        <w:rPr>
          <w:sz w:val="22"/>
          <w:szCs w:val="22"/>
        </w:rPr>
        <w:t xml:space="preserve"> s’adresse au public suivant : </w:t>
      </w:r>
    </w:p>
    <w:p w:rsidR="0007538B" w:rsidRDefault="00624144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624144">
        <w:rPr>
          <w:sz w:val="22"/>
          <w:szCs w:val="22"/>
        </w:rPr>
        <w:t xml:space="preserve">- Jeune de </w:t>
      </w:r>
      <w:r w:rsidR="0007538B">
        <w:rPr>
          <w:sz w:val="22"/>
          <w:szCs w:val="22"/>
        </w:rPr>
        <w:t>16</w:t>
      </w:r>
      <w:r w:rsidRPr="00624144">
        <w:rPr>
          <w:sz w:val="22"/>
          <w:szCs w:val="22"/>
        </w:rPr>
        <w:t xml:space="preserve"> à 2</w:t>
      </w:r>
      <w:r w:rsidR="0007538B">
        <w:rPr>
          <w:sz w:val="22"/>
          <w:szCs w:val="22"/>
        </w:rPr>
        <w:t>1</w:t>
      </w:r>
      <w:r w:rsidRPr="00624144">
        <w:rPr>
          <w:sz w:val="22"/>
          <w:szCs w:val="22"/>
        </w:rPr>
        <w:t xml:space="preserve"> ans révolus </w:t>
      </w:r>
      <w:r w:rsidR="00326CA1">
        <w:rPr>
          <w:sz w:val="22"/>
          <w:szCs w:val="22"/>
        </w:rPr>
        <w:t>au moment de la signature de la convention</w:t>
      </w:r>
    </w:p>
    <w:p w:rsidR="0007538B" w:rsidRDefault="00624144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624144">
        <w:rPr>
          <w:sz w:val="22"/>
          <w:szCs w:val="22"/>
        </w:rPr>
        <w:t xml:space="preserve">- Domicilié à </w:t>
      </w:r>
      <w:r w:rsidR="0007538B">
        <w:rPr>
          <w:sz w:val="22"/>
          <w:szCs w:val="22"/>
        </w:rPr>
        <w:t>Marchiennes</w:t>
      </w:r>
      <w:r w:rsidRPr="00624144">
        <w:rPr>
          <w:sz w:val="22"/>
          <w:szCs w:val="22"/>
        </w:rPr>
        <w:t xml:space="preserve"> </w:t>
      </w:r>
    </w:p>
    <w:p w:rsidR="002D284B" w:rsidRDefault="002D284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p w:rsidR="0007538B" w:rsidRDefault="00624144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07538B">
        <w:rPr>
          <w:b/>
          <w:sz w:val="22"/>
          <w:szCs w:val="22"/>
          <w:u w:val="single"/>
        </w:rPr>
        <w:t>Article 3 – Critères d’éligibilité</w:t>
      </w:r>
      <w:r w:rsidRPr="00624144">
        <w:rPr>
          <w:sz w:val="22"/>
          <w:szCs w:val="22"/>
        </w:rPr>
        <w:t xml:space="preserve"> </w:t>
      </w:r>
    </w:p>
    <w:p w:rsidR="0007538B" w:rsidRDefault="00624144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624144">
        <w:rPr>
          <w:sz w:val="22"/>
          <w:szCs w:val="22"/>
        </w:rPr>
        <w:t xml:space="preserve">- </w:t>
      </w:r>
      <w:proofErr w:type="spellStart"/>
      <w:r w:rsidR="003A5B2F">
        <w:rPr>
          <w:sz w:val="22"/>
          <w:szCs w:val="22"/>
        </w:rPr>
        <w:t>Etre</w:t>
      </w:r>
      <w:proofErr w:type="spellEnd"/>
      <w:r w:rsidR="003A5B2F">
        <w:rPr>
          <w:sz w:val="22"/>
          <w:szCs w:val="22"/>
        </w:rPr>
        <w:t xml:space="preserve"> marchiennois</w:t>
      </w:r>
    </w:p>
    <w:p w:rsidR="003A5B2F" w:rsidRDefault="003A5B2F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Etre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agé</w:t>
      </w:r>
      <w:proofErr w:type="spellEnd"/>
      <w:r>
        <w:rPr>
          <w:sz w:val="22"/>
          <w:szCs w:val="22"/>
        </w:rPr>
        <w:t xml:space="preserve"> entre 16 et 21 ans</w:t>
      </w:r>
      <w:r w:rsidR="00326CA1">
        <w:rPr>
          <w:sz w:val="22"/>
          <w:szCs w:val="22"/>
        </w:rPr>
        <w:t xml:space="preserve"> révolus au moment de la signature de la convention</w:t>
      </w:r>
    </w:p>
    <w:p w:rsidR="003A5B2F" w:rsidRDefault="003A5B2F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Attester d’être inscrit </w:t>
      </w:r>
      <w:r w:rsidR="005C79C3">
        <w:rPr>
          <w:sz w:val="22"/>
          <w:szCs w:val="22"/>
        </w:rPr>
        <w:t>à un centre de formation</w:t>
      </w:r>
    </w:p>
    <w:p w:rsidR="00E27CC2" w:rsidRDefault="003A5B2F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Passer un entretien avec un jury paritaire (composé de chefs de service et d’élus)</w:t>
      </w:r>
      <w:r w:rsidR="00E27CC2">
        <w:rPr>
          <w:sz w:val="22"/>
          <w:szCs w:val="22"/>
        </w:rPr>
        <w:t xml:space="preserve"> ; </w:t>
      </w:r>
    </w:p>
    <w:p w:rsidR="001D6A63" w:rsidRDefault="0007538B" w:rsidP="003A5B2F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3A5B2F">
        <w:rPr>
          <w:sz w:val="22"/>
          <w:szCs w:val="22"/>
        </w:rPr>
        <w:t>Effectuer 30 heures au sein des services municipaux</w:t>
      </w:r>
      <w:r w:rsidR="00326CA1">
        <w:rPr>
          <w:sz w:val="22"/>
          <w:szCs w:val="22"/>
        </w:rPr>
        <w:t xml:space="preserve"> sur 6 mois maximum</w:t>
      </w:r>
      <w:r w:rsidR="00855980">
        <w:rPr>
          <w:sz w:val="22"/>
          <w:szCs w:val="22"/>
        </w:rPr>
        <w:t xml:space="preserve"> </w:t>
      </w:r>
    </w:p>
    <w:p w:rsidR="002D284B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624144" w:rsidRPr="00624144">
        <w:rPr>
          <w:sz w:val="22"/>
          <w:szCs w:val="22"/>
        </w:rPr>
        <w:t xml:space="preserve"> Transmettre son dossier d’inscription dument complété avec l’ensemble des documents à joindre</w:t>
      </w:r>
    </w:p>
    <w:p w:rsidR="00E27CC2" w:rsidRDefault="00E27CC2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Possibilité de postuler </w:t>
      </w:r>
      <w:r>
        <w:rPr>
          <w:sz w:val="22"/>
          <w:szCs w:val="22"/>
        </w:rPr>
        <w:t>aux</w:t>
      </w:r>
      <w:r>
        <w:rPr>
          <w:sz w:val="22"/>
          <w:szCs w:val="22"/>
        </w:rPr>
        <w:t xml:space="preserve"> prochaines commissions en cas d</w:t>
      </w:r>
      <w:r>
        <w:rPr>
          <w:sz w:val="22"/>
          <w:szCs w:val="22"/>
        </w:rPr>
        <w:t>e réponse négative</w:t>
      </w:r>
    </w:p>
    <w:p w:rsidR="0007538B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p w:rsidR="002D284B" w:rsidRDefault="00624144" w:rsidP="00624144">
      <w:pPr>
        <w:tabs>
          <w:tab w:val="left" w:pos="2410"/>
        </w:tabs>
        <w:spacing w:line="360" w:lineRule="auto"/>
        <w:jc w:val="both"/>
        <w:rPr>
          <w:b/>
          <w:sz w:val="22"/>
          <w:szCs w:val="22"/>
          <w:u w:val="single"/>
        </w:rPr>
      </w:pPr>
      <w:r w:rsidRPr="0007538B">
        <w:rPr>
          <w:b/>
          <w:sz w:val="22"/>
          <w:szCs w:val="22"/>
          <w:u w:val="single"/>
        </w:rPr>
        <w:t>Article 4 – Cadre de l’engagement citoyen</w:t>
      </w:r>
    </w:p>
    <w:p w:rsidR="00EE23A0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07538B">
        <w:rPr>
          <w:sz w:val="22"/>
          <w:szCs w:val="22"/>
        </w:rPr>
        <w:t xml:space="preserve">Ne peuvent être considérés comme des engagements qui répondent au dispositif : </w:t>
      </w:r>
    </w:p>
    <w:p w:rsidR="00EE23A0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07538B">
        <w:rPr>
          <w:sz w:val="22"/>
          <w:szCs w:val="22"/>
        </w:rPr>
        <w:t xml:space="preserve">- les formations relevant d’une formation ou d’un cursus scolaire </w:t>
      </w:r>
    </w:p>
    <w:p w:rsidR="00EE23A0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07538B">
        <w:rPr>
          <w:sz w:val="22"/>
          <w:szCs w:val="22"/>
        </w:rPr>
        <w:t xml:space="preserve">- les missions effectuées à titre personnel </w:t>
      </w:r>
      <w:bookmarkStart w:id="0" w:name="_GoBack"/>
      <w:bookmarkEnd w:id="0"/>
    </w:p>
    <w:p w:rsidR="00EE23A0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07538B">
        <w:rPr>
          <w:sz w:val="22"/>
          <w:szCs w:val="22"/>
        </w:rPr>
        <w:lastRenderedPageBreak/>
        <w:t xml:space="preserve">L’engagement citoyen est de </w:t>
      </w:r>
      <w:r w:rsidR="00EE23A0">
        <w:rPr>
          <w:sz w:val="22"/>
          <w:szCs w:val="22"/>
        </w:rPr>
        <w:t>30</w:t>
      </w:r>
      <w:r w:rsidRPr="0007538B">
        <w:rPr>
          <w:sz w:val="22"/>
          <w:szCs w:val="22"/>
        </w:rPr>
        <w:t xml:space="preserve"> heures et doit être réalisé dans les 6 mois qui suivent la décision d’attribution de l’aide. </w:t>
      </w:r>
    </w:p>
    <w:p w:rsidR="00EE23A0" w:rsidRDefault="00EE23A0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p w:rsidR="00EE23A0" w:rsidRPr="002D284B" w:rsidRDefault="0007538B" w:rsidP="00624144">
      <w:pPr>
        <w:tabs>
          <w:tab w:val="left" w:pos="2410"/>
        </w:tabs>
        <w:spacing w:line="360" w:lineRule="auto"/>
        <w:jc w:val="both"/>
        <w:rPr>
          <w:b/>
          <w:sz w:val="22"/>
          <w:szCs w:val="22"/>
          <w:u w:val="single"/>
        </w:rPr>
      </w:pPr>
      <w:r w:rsidRPr="00EE23A0">
        <w:rPr>
          <w:b/>
          <w:sz w:val="22"/>
          <w:szCs w:val="22"/>
          <w:u w:val="single"/>
        </w:rPr>
        <w:t xml:space="preserve">Article 5 – Détails de l’aide </w:t>
      </w:r>
    </w:p>
    <w:p w:rsidR="00EE23A0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07538B">
        <w:rPr>
          <w:sz w:val="22"/>
          <w:szCs w:val="22"/>
        </w:rPr>
        <w:t xml:space="preserve">- Le montant de l’aide est de </w:t>
      </w:r>
      <w:r w:rsidR="003A5B2F">
        <w:rPr>
          <w:sz w:val="22"/>
          <w:szCs w:val="22"/>
        </w:rPr>
        <w:t>3</w:t>
      </w:r>
      <w:r w:rsidRPr="0007538B">
        <w:rPr>
          <w:sz w:val="22"/>
          <w:szCs w:val="22"/>
        </w:rPr>
        <w:t xml:space="preserve">00 euros par bénéficiaire </w:t>
      </w:r>
    </w:p>
    <w:p w:rsidR="00EE23A0" w:rsidRDefault="00EE23A0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7538B" w:rsidRPr="0007538B">
        <w:rPr>
          <w:sz w:val="22"/>
          <w:szCs w:val="22"/>
        </w:rPr>
        <w:t xml:space="preserve">L’aide n’est pas reconductible en cas d’échec </w:t>
      </w:r>
    </w:p>
    <w:p w:rsidR="00EE23A0" w:rsidRDefault="00EE23A0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7538B" w:rsidRPr="0007538B">
        <w:rPr>
          <w:sz w:val="22"/>
          <w:szCs w:val="22"/>
        </w:rPr>
        <w:t>L’aide engage le jeune à aller au bout de sa démarche d’engagement citoyen auprès de la structure locale, ainsi qu’à suivre l’intégralité de la formation</w:t>
      </w:r>
      <w:r w:rsidR="005C79C3">
        <w:rPr>
          <w:sz w:val="22"/>
          <w:szCs w:val="22"/>
        </w:rPr>
        <w:t>.</w:t>
      </w:r>
    </w:p>
    <w:p w:rsidR="00EE23A0" w:rsidRDefault="00EE23A0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07538B" w:rsidRPr="0007538B">
        <w:rPr>
          <w:sz w:val="22"/>
          <w:szCs w:val="22"/>
        </w:rPr>
        <w:t xml:space="preserve"> Le versement de l’aide se fait directement auprès </w:t>
      </w:r>
      <w:r w:rsidR="005C79C3">
        <w:rPr>
          <w:sz w:val="22"/>
          <w:szCs w:val="22"/>
        </w:rPr>
        <w:t>du centre de formation</w:t>
      </w:r>
      <w:r w:rsidR="0007538B" w:rsidRPr="0007538B">
        <w:rPr>
          <w:sz w:val="22"/>
          <w:szCs w:val="22"/>
        </w:rPr>
        <w:t xml:space="preserve"> conventionné </w:t>
      </w:r>
      <w:r w:rsidR="008B2841">
        <w:rPr>
          <w:sz w:val="22"/>
          <w:szCs w:val="22"/>
        </w:rPr>
        <w:t xml:space="preserve">après </w:t>
      </w:r>
      <w:r w:rsidR="0007538B" w:rsidRPr="0007538B">
        <w:rPr>
          <w:sz w:val="22"/>
          <w:szCs w:val="22"/>
        </w:rPr>
        <w:t>l’obtention de l’attestation de fin de mission d’engagement citoyen du bénéficiaire</w:t>
      </w:r>
      <w:r>
        <w:rPr>
          <w:sz w:val="22"/>
          <w:szCs w:val="22"/>
        </w:rPr>
        <w:t>.</w:t>
      </w:r>
    </w:p>
    <w:p w:rsidR="00EE23A0" w:rsidRDefault="00EE23A0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p w:rsidR="00EE23A0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EE23A0">
        <w:rPr>
          <w:b/>
          <w:sz w:val="22"/>
          <w:szCs w:val="22"/>
          <w:u w:val="single"/>
        </w:rPr>
        <w:t>Article 6 – Contrôles – Sanctions – Recours</w:t>
      </w:r>
      <w:r w:rsidRPr="0007538B">
        <w:rPr>
          <w:sz w:val="22"/>
          <w:szCs w:val="22"/>
        </w:rPr>
        <w:t xml:space="preserve"> </w:t>
      </w:r>
    </w:p>
    <w:p w:rsidR="00EE23A0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07538B">
        <w:rPr>
          <w:sz w:val="22"/>
          <w:szCs w:val="22"/>
        </w:rPr>
        <w:t xml:space="preserve">La Ville de </w:t>
      </w:r>
      <w:r w:rsidR="00EE23A0">
        <w:rPr>
          <w:sz w:val="22"/>
          <w:szCs w:val="22"/>
        </w:rPr>
        <w:t>Marchiennes</w:t>
      </w:r>
      <w:r w:rsidRPr="0007538B">
        <w:rPr>
          <w:sz w:val="22"/>
          <w:szCs w:val="22"/>
        </w:rPr>
        <w:t xml:space="preserve"> procède à un contrôle des déclarations faites par les demandeurs et à la réalisation de la mission d’engagement citoyen. </w:t>
      </w:r>
    </w:p>
    <w:p w:rsidR="002D284B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07538B">
        <w:rPr>
          <w:sz w:val="22"/>
          <w:szCs w:val="22"/>
        </w:rPr>
        <w:t xml:space="preserve">Si à compter de la décision d’octroi de l’aide au bénéficiaire, la Ville de </w:t>
      </w:r>
      <w:r w:rsidR="00891CDF">
        <w:rPr>
          <w:sz w:val="22"/>
          <w:szCs w:val="22"/>
        </w:rPr>
        <w:t xml:space="preserve">Marchiennes </w:t>
      </w:r>
      <w:r w:rsidRPr="0007538B">
        <w:rPr>
          <w:sz w:val="22"/>
          <w:szCs w:val="22"/>
        </w:rPr>
        <w:t xml:space="preserve">est informée d’une fausse déclaration </w:t>
      </w:r>
      <w:r w:rsidR="005C79C3">
        <w:rPr>
          <w:sz w:val="22"/>
          <w:szCs w:val="22"/>
        </w:rPr>
        <w:t xml:space="preserve">ou </w:t>
      </w:r>
      <w:r w:rsidRPr="0007538B">
        <w:rPr>
          <w:sz w:val="22"/>
          <w:szCs w:val="22"/>
        </w:rPr>
        <w:t>la mission d’engagement citoyen n’est pas réalisée</w:t>
      </w:r>
      <w:r w:rsidR="003812C2">
        <w:rPr>
          <w:sz w:val="22"/>
          <w:szCs w:val="22"/>
        </w:rPr>
        <w:t>,</w:t>
      </w:r>
      <w:r w:rsidRPr="0007538B">
        <w:rPr>
          <w:sz w:val="22"/>
          <w:szCs w:val="22"/>
        </w:rPr>
        <w:t xml:space="preserve"> </w:t>
      </w:r>
      <w:r w:rsidR="005C79C3">
        <w:rPr>
          <w:sz w:val="22"/>
          <w:szCs w:val="22"/>
        </w:rPr>
        <w:t>celle-ci</w:t>
      </w:r>
      <w:r w:rsidRPr="0007538B">
        <w:rPr>
          <w:sz w:val="22"/>
          <w:szCs w:val="22"/>
        </w:rPr>
        <w:t xml:space="preserve"> peut décider d’annuler </w:t>
      </w:r>
      <w:r w:rsidR="003812C2">
        <w:rPr>
          <w:sz w:val="22"/>
          <w:szCs w:val="22"/>
        </w:rPr>
        <w:t>l’intégralité</w:t>
      </w:r>
      <w:r w:rsidRPr="0007538B">
        <w:rPr>
          <w:sz w:val="22"/>
          <w:szCs w:val="22"/>
        </w:rPr>
        <w:t xml:space="preserve"> de l’aide précédemment accordée</w:t>
      </w:r>
      <w:r w:rsidR="008B2841">
        <w:rPr>
          <w:sz w:val="22"/>
          <w:szCs w:val="22"/>
        </w:rPr>
        <w:t>.</w:t>
      </w:r>
      <w:r w:rsidRPr="0007538B">
        <w:rPr>
          <w:sz w:val="22"/>
          <w:szCs w:val="22"/>
        </w:rPr>
        <w:t xml:space="preserve"> </w:t>
      </w:r>
    </w:p>
    <w:p w:rsidR="002D284B" w:rsidRDefault="002D284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p w:rsidR="002D284B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2D284B">
        <w:rPr>
          <w:b/>
          <w:sz w:val="22"/>
          <w:szCs w:val="22"/>
          <w:u w:val="single"/>
        </w:rPr>
        <w:t>Article 7 – Promotion et valorisation</w:t>
      </w:r>
      <w:r w:rsidRPr="0007538B">
        <w:rPr>
          <w:sz w:val="22"/>
          <w:szCs w:val="22"/>
        </w:rPr>
        <w:t xml:space="preserve"> </w:t>
      </w:r>
    </w:p>
    <w:p w:rsidR="0007538B" w:rsidRDefault="0007538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 w:rsidRPr="0007538B">
        <w:rPr>
          <w:sz w:val="22"/>
          <w:szCs w:val="22"/>
        </w:rPr>
        <w:t xml:space="preserve">Le candidat accepte que la Ville de </w:t>
      </w:r>
      <w:r w:rsidR="002D284B">
        <w:rPr>
          <w:sz w:val="22"/>
          <w:szCs w:val="22"/>
        </w:rPr>
        <w:t>Marchiennes</w:t>
      </w:r>
      <w:r w:rsidRPr="0007538B">
        <w:rPr>
          <w:sz w:val="22"/>
          <w:szCs w:val="22"/>
        </w:rPr>
        <w:t xml:space="preserve"> communique sur sa mission d’engagement citoyen tout au long de sa réalisation. Il peut également être sollicité pour participer à des temps de valorisation ou d’échanges entre pairs.</w:t>
      </w:r>
    </w:p>
    <w:p w:rsidR="002D284B" w:rsidRDefault="002D284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p w:rsidR="002D284B" w:rsidRDefault="002D284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Date et signature du demandeur :</w:t>
      </w:r>
    </w:p>
    <w:p w:rsidR="002D284B" w:rsidRDefault="002D284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p w:rsidR="002D284B" w:rsidRDefault="002D284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signant le présent document, je reconnais avoir pris connaissance des dispositions du règlement du dispositif « </w:t>
      </w:r>
      <w:r w:rsidR="005C79C3">
        <w:rPr>
          <w:sz w:val="22"/>
          <w:szCs w:val="22"/>
        </w:rPr>
        <w:t>Coup de pouce jeunesse</w:t>
      </w:r>
      <w:r>
        <w:rPr>
          <w:sz w:val="22"/>
          <w:szCs w:val="22"/>
        </w:rPr>
        <w:t> ».</w:t>
      </w:r>
    </w:p>
    <w:p w:rsidR="002D284B" w:rsidRDefault="002D284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284B" w:rsidTr="002D284B">
        <w:tc>
          <w:tcPr>
            <w:tcW w:w="9628" w:type="dxa"/>
          </w:tcPr>
          <w:p w:rsidR="002D284B" w:rsidRDefault="002D284B" w:rsidP="00624144">
            <w:pPr>
              <w:tabs>
                <w:tab w:val="left" w:pos="241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Réservé à l’administration :</w:t>
            </w:r>
          </w:p>
          <w:p w:rsidR="002D284B" w:rsidRDefault="002D284B" w:rsidP="00624144">
            <w:pPr>
              <w:tabs>
                <w:tab w:val="left" w:pos="241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de dépôt du dossier complet :</w:t>
            </w:r>
          </w:p>
        </w:tc>
      </w:tr>
    </w:tbl>
    <w:p w:rsidR="002D284B" w:rsidRPr="0007538B" w:rsidRDefault="002D284B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p w:rsidR="00624144" w:rsidRPr="00624144" w:rsidRDefault="00624144" w:rsidP="00624144">
      <w:pPr>
        <w:tabs>
          <w:tab w:val="left" w:pos="2410"/>
        </w:tabs>
        <w:spacing w:line="360" w:lineRule="auto"/>
        <w:jc w:val="both"/>
        <w:rPr>
          <w:sz w:val="22"/>
          <w:szCs w:val="22"/>
        </w:rPr>
      </w:pPr>
    </w:p>
    <w:sectPr w:rsidR="00624144" w:rsidRPr="00624144" w:rsidSect="002D284B">
      <w:headerReference w:type="default" r:id="rId7"/>
      <w:footerReference w:type="even" r:id="rId8"/>
      <w:footerReference w:type="default" r:id="rId9"/>
      <w:pgSz w:w="11906" w:h="16838"/>
      <w:pgMar w:top="1103" w:right="1417" w:bottom="1417" w:left="851" w:header="109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2CD" w:rsidRDefault="008C72CD" w:rsidP="008073A1">
      <w:r>
        <w:separator/>
      </w:r>
    </w:p>
  </w:endnote>
  <w:endnote w:type="continuationSeparator" w:id="0">
    <w:p w:rsidR="008C72CD" w:rsidRDefault="008C72CD" w:rsidP="0080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55C" w:rsidRDefault="005A655C">
    <w:pPr>
      <w:pStyle w:val="Pieddepage"/>
    </w:pPr>
    <w:r w:rsidRPr="005A655C">
      <w:rPr>
        <w:noProof/>
        <w:lang w:eastAsia="fr-F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-740410</wp:posOffset>
          </wp:positionH>
          <wp:positionV relativeFrom="paragraph">
            <wp:posOffset>-299085</wp:posOffset>
          </wp:positionV>
          <wp:extent cx="7464425" cy="914400"/>
          <wp:effectExtent l="0" t="0" r="3175" b="0"/>
          <wp:wrapNone/>
          <wp:docPr id="2" name="Image 2" descr="C:\scan\etatcivil@marchiennes.fr_20130904_100217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scan\etatcivil@marchiennes.fr_20130904_100217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1579" r="993"/>
                  <a:stretch>
                    <a:fillRect/>
                  </a:stretch>
                </pic:blipFill>
                <pic:spPr bwMode="auto">
                  <a:xfrm>
                    <a:off x="0" y="0"/>
                    <a:ext cx="74644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3A1" w:rsidRDefault="008073A1">
    <w:pPr>
      <w:pStyle w:val="Pieddepage"/>
    </w:pPr>
    <w:r w:rsidRPr="008073A1">
      <w:rPr>
        <w:noProof/>
        <w:lang w:eastAsia="fr-F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102235</wp:posOffset>
          </wp:positionH>
          <wp:positionV relativeFrom="paragraph">
            <wp:posOffset>-285115</wp:posOffset>
          </wp:positionV>
          <wp:extent cx="7464425" cy="895350"/>
          <wp:effectExtent l="0" t="0" r="3175" b="0"/>
          <wp:wrapNone/>
          <wp:docPr id="3" name="Image 2" descr="C:\scan\etatcivil@marchiennes.fr_20130904_100217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scan\etatcivil@marchiennes.fr_20130904_100217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1579" r="993"/>
                  <a:stretch>
                    <a:fillRect/>
                  </a:stretch>
                </pic:blipFill>
                <pic:spPr bwMode="auto">
                  <a:xfrm>
                    <a:off x="0" y="0"/>
                    <a:ext cx="74644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2CD" w:rsidRDefault="008C72CD" w:rsidP="008073A1">
      <w:r>
        <w:separator/>
      </w:r>
    </w:p>
  </w:footnote>
  <w:footnote w:type="continuationSeparator" w:id="0">
    <w:p w:rsidR="008C72CD" w:rsidRDefault="008C72CD" w:rsidP="0080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3A1" w:rsidRDefault="008073A1">
    <w:pPr>
      <w:pStyle w:val="En-tte"/>
    </w:pPr>
    <w:r w:rsidRPr="008073A1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288290</wp:posOffset>
          </wp:positionH>
          <wp:positionV relativeFrom="page">
            <wp:align>top</wp:align>
          </wp:positionV>
          <wp:extent cx="6219825" cy="1409700"/>
          <wp:effectExtent l="0" t="0" r="9525" b="0"/>
          <wp:wrapSquare wrapText="bothSides"/>
          <wp:docPr id="1" name="Image 1" descr="C:\scan\etatcivil@marchiennes.fr_20130904_100217_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scan\etatcivil@marchiennes.fr_20130904_100217_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463" r="1920" b="82927"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91A"/>
    <w:rsid w:val="000232B4"/>
    <w:rsid w:val="0007538B"/>
    <w:rsid w:val="00077680"/>
    <w:rsid w:val="00086402"/>
    <w:rsid w:val="00090CA4"/>
    <w:rsid w:val="000A6DC4"/>
    <w:rsid w:val="000E2B00"/>
    <w:rsid w:val="0013667C"/>
    <w:rsid w:val="00195691"/>
    <w:rsid w:val="001D6A63"/>
    <w:rsid w:val="00223CF3"/>
    <w:rsid w:val="00256111"/>
    <w:rsid w:val="0026504C"/>
    <w:rsid w:val="002D284B"/>
    <w:rsid w:val="002E29C7"/>
    <w:rsid w:val="002F6411"/>
    <w:rsid w:val="002F6E7A"/>
    <w:rsid w:val="00305D6B"/>
    <w:rsid w:val="00313823"/>
    <w:rsid w:val="00326CA1"/>
    <w:rsid w:val="003812C2"/>
    <w:rsid w:val="003A5B2F"/>
    <w:rsid w:val="003F194F"/>
    <w:rsid w:val="00421DA2"/>
    <w:rsid w:val="0049345C"/>
    <w:rsid w:val="004C5883"/>
    <w:rsid w:val="004E1B5F"/>
    <w:rsid w:val="00502915"/>
    <w:rsid w:val="00516908"/>
    <w:rsid w:val="0053707C"/>
    <w:rsid w:val="005A5FE3"/>
    <w:rsid w:val="005A655C"/>
    <w:rsid w:val="005C79C3"/>
    <w:rsid w:val="00606060"/>
    <w:rsid w:val="00624144"/>
    <w:rsid w:val="00682C06"/>
    <w:rsid w:val="006B1059"/>
    <w:rsid w:val="006C009B"/>
    <w:rsid w:val="006E0ECE"/>
    <w:rsid w:val="00712F38"/>
    <w:rsid w:val="0074534D"/>
    <w:rsid w:val="007B619F"/>
    <w:rsid w:val="007E4DDC"/>
    <w:rsid w:val="008073A1"/>
    <w:rsid w:val="00855980"/>
    <w:rsid w:val="00891CDF"/>
    <w:rsid w:val="008B2841"/>
    <w:rsid w:val="008C72CD"/>
    <w:rsid w:val="008E7535"/>
    <w:rsid w:val="00957D6E"/>
    <w:rsid w:val="00983BDE"/>
    <w:rsid w:val="009D6A69"/>
    <w:rsid w:val="00A43A51"/>
    <w:rsid w:val="00A43FDF"/>
    <w:rsid w:val="00A82BA0"/>
    <w:rsid w:val="00AC0550"/>
    <w:rsid w:val="00B06C16"/>
    <w:rsid w:val="00B32D68"/>
    <w:rsid w:val="00BD06CB"/>
    <w:rsid w:val="00BD0DA8"/>
    <w:rsid w:val="00BF32B7"/>
    <w:rsid w:val="00C735C0"/>
    <w:rsid w:val="00CD1111"/>
    <w:rsid w:val="00CD3706"/>
    <w:rsid w:val="00CE20A0"/>
    <w:rsid w:val="00D244AD"/>
    <w:rsid w:val="00E27CC2"/>
    <w:rsid w:val="00E7139D"/>
    <w:rsid w:val="00EE23A0"/>
    <w:rsid w:val="00F42723"/>
    <w:rsid w:val="00F466C5"/>
    <w:rsid w:val="00F55469"/>
    <w:rsid w:val="00F77222"/>
    <w:rsid w:val="00F87AA1"/>
    <w:rsid w:val="00F9791A"/>
    <w:rsid w:val="00FD7403"/>
    <w:rsid w:val="00FE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2F2EAA"/>
  <w15:docId w15:val="{A9F60E13-2F42-4ED2-A195-8585CC5B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79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791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073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073A1"/>
  </w:style>
  <w:style w:type="paragraph" w:styleId="Pieddepage">
    <w:name w:val="footer"/>
    <w:basedOn w:val="Normal"/>
    <w:link w:val="PieddepageCar"/>
    <w:uiPriority w:val="99"/>
    <w:unhideWhenUsed/>
    <w:rsid w:val="008073A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8073A1"/>
  </w:style>
  <w:style w:type="paragraph" w:styleId="Paragraphedeliste">
    <w:name w:val="List Paragraph"/>
    <w:basedOn w:val="Normal"/>
    <w:uiPriority w:val="34"/>
    <w:qFormat/>
    <w:rsid w:val="006C00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vision">
    <w:name w:val="Revision"/>
    <w:hidden/>
    <w:uiPriority w:val="99"/>
    <w:semiHidden/>
    <w:rsid w:val="00FD74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2D2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00A67-363F-4223-A690-BE537D6A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Marchiennes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abrassart</dc:creator>
  <cp:lastModifiedBy>Vanessa MARQUANT</cp:lastModifiedBy>
  <cp:revision>7</cp:revision>
  <cp:lastPrinted>2024-10-07T11:39:00Z</cp:lastPrinted>
  <dcterms:created xsi:type="dcterms:W3CDTF">2024-10-03T13:53:00Z</dcterms:created>
  <dcterms:modified xsi:type="dcterms:W3CDTF">2024-10-07T11:44:00Z</dcterms:modified>
</cp:coreProperties>
</file>