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D828B" w14:textId="77777777" w:rsidR="00EA70E9" w:rsidRDefault="00EA70E9" w:rsidP="00EA70E9">
      <w:pPr>
        <w:pStyle w:val="Standard"/>
        <w:spacing w:line="276" w:lineRule="auto"/>
        <w:ind w:firstLine="142"/>
      </w:pPr>
      <w:r>
        <w:t xml:space="preserve">Commune de </w:t>
      </w:r>
      <w:r>
        <w:rPr>
          <w:b/>
        </w:rPr>
        <w:t>JASNEY – 70800</w:t>
      </w:r>
    </w:p>
    <w:p w14:paraId="1BE5C100" w14:textId="77777777" w:rsidR="00EA70E9" w:rsidRDefault="00EA70E9" w:rsidP="00EA70E9">
      <w:pPr>
        <w:pStyle w:val="Standard"/>
        <w:spacing w:line="276" w:lineRule="auto"/>
        <w:ind w:firstLine="142"/>
        <w:rPr>
          <w:b/>
        </w:rPr>
      </w:pPr>
    </w:p>
    <w:p w14:paraId="5829E0CF" w14:textId="3E926EC0" w:rsidR="00EA70E9" w:rsidRDefault="00EA70E9" w:rsidP="00EA70E9">
      <w:pPr>
        <w:pStyle w:val="Standard"/>
        <w:pBdr>
          <w:top w:val="single" w:sz="4" w:space="1" w:color="000000"/>
          <w:left w:val="single" w:sz="4" w:space="4" w:color="000000"/>
          <w:bottom w:val="single" w:sz="4" w:space="1" w:color="000000"/>
          <w:right w:val="single" w:sz="4" w:space="4" w:color="000000"/>
        </w:pBdr>
        <w:shd w:val="clear" w:color="auto" w:fill="FFFF00"/>
        <w:spacing w:line="276" w:lineRule="auto"/>
        <w:jc w:val="center"/>
      </w:pPr>
      <w:r>
        <w:rPr>
          <w:b/>
        </w:rPr>
        <w:t>COMPTE-RENDU DE LA REUNION DU CONSEIL MUNICIPAL DU 1</w:t>
      </w:r>
      <w:r w:rsidR="000549AC">
        <w:rPr>
          <w:b/>
        </w:rPr>
        <w:t>7</w:t>
      </w:r>
      <w:r>
        <w:rPr>
          <w:b/>
        </w:rPr>
        <w:t xml:space="preserve"> MARS 202</w:t>
      </w:r>
      <w:r w:rsidR="000549AC">
        <w:rPr>
          <w:b/>
        </w:rPr>
        <w:t>5</w:t>
      </w:r>
    </w:p>
    <w:p w14:paraId="59A24DCC" w14:textId="77777777" w:rsidR="00EA70E9" w:rsidRDefault="00EA70E9" w:rsidP="00EA70E9">
      <w:pPr>
        <w:pStyle w:val="Standard"/>
        <w:tabs>
          <w:tab w:val="left" w:pos="-284"/>
        </w:tabs>
        <w:spacing w:line="276" w:lineRule="auto"/>
        <w:ind w:left="-142"/>
        <w:jc w:val="both"/>
        <w:rPr>
          <w:i/>
        </w:rPr>
      </w:pPr>
    </w:p>
    <w:p w14:paraId="428F7AD4" w14:textId="5F836E92" w:rsidR="00EA70E9" w:rsidRDefault="00EA70E9" w:rsidP="00EA70E9">
      <w:pPr>
        <w:pStyle w:val="Standard"/>
        <w:tabs>
          <w:tab w:val="left" w:pos="-284"/>
        </w:tabs>
        <w:spacing w:line="276" w:lineRule="auto"/>
        <w:ind w:left="-142"/>
        <w:jc w:val="both"/>
      </w:pPr>
      <w:r>
        <w:rPr>
          <w:b/>
          <w:i/>
          <w:sz w:val="22"/>
          <w:szCs w:val="22"/>
        </w:rPr>
        <w:t>Présents</w:t>
      </w:r>
      <w:r>
        <w:rPr>
          <w:i/>
          <w:sz w:val="22"/>
          <w:szCs w:val="22"/>
        </w:rPr>
        <w:t xml:space="preserve"> : GEROME Jean Daniel, GARRET Laurent, BORONT Mickaël, BLEU Sylvain, COLLAS </w:t>
      </w:r>
      <w:proofErr w:type="gramStart"/>
      <w:r>
        <w:rPr>
          <w:i/>
          <w:sz w:val="22"/>
          <w:szCs w:val="22"/>
        </w:rPr>
        <w:t>Josette,  HUGUENOT</w:t>
      </w:r>
      <w:proofErr w:type="gramEnd"/>
      <w:r>
        <w:rPr>
          <w:i/>
          <w:sz w:val="22"/>
          <w:szCs w:val="22"/>
        </w:rPr>
        <w:t xml:space="preserve"> Yvette,</w:t>
      </w:r>
      <w:r w:rsidR="003E50BC">
        <w:rPr>
          <w:i/>
          <w:sz w:val="22"/>
          <w:szCs w:val="22"/>
        </w:rPr>
        <w:t xml:space="preserve"> KUENY Stéphane, RAPENNE Emilie</w:t>
      </w:r>
    </w:p>
    <w:p w14:paraId="1567EA30" w14:textId="78B0627A" w:rsidR="00EA70E9" w:rsidRDefault="00EA70E9" w:rsidP="00EA70E9">
      <w:pPr>
        <w:pStyle w:val="Standard"/>
        <w:tabs>
          <w:tab w:val="left" w:pos="-284"/>
        </w:tabs>
        <w:spacing w:line="276" w:lineRule="auto"/>
        <w:ind w:left="-142"/>
        <w:jc w:val="both"/>
      </w:pPr>
      <w:r>
        <w:rPr>
          <w:b/>
          <w:i/>
          <w:sz w:val="22"/>
          <w:szCs w:val="22"/>
        </w:rPr>
        <w:t>Excusé</w:t>
      </w:r>
      <w:r w:rsidR="003E50BC">
        <w:rPr>
          <w:b/>
          <w:i/>
          <w:sz w:val="22"/>
          <w:szCs w:val="22"/>
        </w:rPr>
        <w:t>e</w:t>
      </w:r>
      <w:r>
        <w:rPr>
          <w:b/>
          <w:i/>
          <w:sz w:val="22"/>
          <w:szCs w:val="22"/>
        </w:rPr>
        <w:t>s </w:t>
      </w:r>
      <w:r>
        <w:rPr>
          <w:i/>
          <w:sz w:val="22"/>
          <w:szCs w:val="22"/>
        </w:rPr>
        <w:t xml:space="preserve">:  </w:t>
      </w:r>
      <w:r w:rsidR="003E50BC">
        <w:rPr>
          <w:i/>
          <w:sz w:val="22"/>
          <w:szCs w:val="22"/>
        </w:rPr>
        <w:t>GACON Anne, ROBERT Aude,</w:t>
      </w:r>
      <w:r>
        <w:rPr>
          <w:i/>
          <w:sz w:val="22"/>
          <w:szCs w:val="22"/>
        </w:rPr>
        <w:t xml:space="preserve"> TALGUEN Manon</w:t>
      </w:r>
    </w:p>
    <w:p w14:paraId="4E8FFEBD" w14:textId="77777777" w:rsidR="00EA70E9" w:rsidRDefault="00EA70E9" w:rsidP="00EA70E9">
      <w:pPr>
        <w:pStyle w:val="Standard"/>
        <w:tabs>
          <w:tab w:val="left" w:pos="-284"/>
        </w:tabs>
        <w:spacing w:line="276" w:lineRule="auto"/>
        <w:ind w:left="-142"/>
        <w:jc w:val="both"/>
      </w:pPr>
      <w:r>
        <w:rPr>
          <w:b/>
          <w:i/>
          <w:sz w:val="22"/>
          <w:szCs w:val="22"/>
        </w:rPr>
        <w:t>Secrétaire de séance </w:t>
      </w:r>
      <w:r>
        <w:rPr>
          <w:sz w:val="22"/>
          <w:szCs w:val="22"/>
        </w:rPr>
        <w:t xml:space="preserve">: </w:t>
      </w:r>
      <w:r>
        <w:rPr>
          <w:i/>
          <w:sz w:val="22"/>
          <w:szCs w:val="22"/>
        </w:rPr>
        <w:t>GARRET Laurent</w:t>
      </w:r>
      <w:r>
        <w:rPr>
          <w:sz w:val="22"/>
          <w:szCs w:val="22"/>
        </w:rPr>
        <w:t xml:space="preserve">                                        La séance est ouverte à 20h30  </w:t>
      </w:r>
    </w:p>
    <w:p w14:paraId="052C878F" w14:textId="77777777" w:rsidR="00EA70E9" w:rsidRDefault="00EA70E9" w:rsidP="00EA70E9">
      <w:pPr>
        <w:pStyle w:val="Standard"/>
        <w:tabs>
          <w:tab w:val="left" w:pos="-284"/>
        </w:tabs>
        <w:spacing w:line="276" w:lineRule="auto"/>
        <w:ind w:left="-142"/>
        <w:jc w:val="both"/>
        <w:rPr>
          <w:sz w:val="22"/>
          <w:szCs w:val="22"/>
        </w:rPr>
      </w:pPr>
      <w:r>
        <w:rPr>
          <w:sz w:val="22"/>
          <w:szCs w:val="22"/>
        </w:rPr>
        <w:t xml:space="preserve"> </w:t>
      </w:r>
    </w:p>
    <w:p w14:paraId="185925D6" w14:textId="43DED9E0" w:rsidR="00EA70E9" w:rsidRDefault="00EA70E9" w:rsidP="00EA70E9">
      <w:pPr>
        <w:pStyle w:val="Paragraphedeliste"/>
        <w:numPr>
          <w:ilvl w:val="0"/>
          <w:numId w:val="2"/>
        </w:numPr>
        <w:tabs>
          <w:tab w:val="left" w:pos="4092"/>
        </w:tabs>
        <w:spacing w:line="276" w:lineRule="auto"/>
        <w:jc w:val="both"/>
      </w:pPr>
      <w:r>
        <w:rPr>
          <w:b/>
        </w:rPr>
        <w:t xml:space="preserve">) </w:t>
      </w:r>
      <w:r>
        <w:rPr>
          <w:b/>
          <w:u w:val="single"/>
        </w:rPr>
        <w:t>Comptes administratifs 202</w:t>
      </w:r>
      <w:r w:rsidR="00856050">
        <w:rPr>
          <w:b/>
          <w:u w:val="single"/>
        </w:rPr>
        <w:t>4</w:t>
      </w:r>
      <w:r>
        <w:rPr>
          <w:b/>
          <w:u w:val="single"/>
        </w:rPr>
        <w:t xml:space="preserve"> et affectation des résultats de fonctionnement </w:t>
      </w:r>
      <w:r>
        <w:rPr>
          <w:b/>
        </w:rPr>
        <w:t xml:space="preserve">:   </w:t>
      </w:r>
    </w:p>
    <w:p w14:paraId="2F0D2EA7" w14:textId="728D0A23" w:rsidR="00EA70E9" w:rsidRDefault="00EA70E9" w:rsidP="00EA70E9">
      <w:pPr>
        <w:pStyle w:val="Paragraphedeliste"/>
        <w:tabs>
          <w:tab w:val="left" w:pos="76"/>
        </w:tabs>
        <w:spacing w:line="276" w:lineRule="auto"/>
        <w:ind w:left="218"/>
        <w:jc w:val="both"/>
      </w:pPr>
      <w:r>
        <w:t>L’état des dépenses et des recettes</w:t>
      </w:r>
      <w:r w:rsidR="00CE2A95">
        <w:t xml:space="preserve"> </w:t>
      </w:r>
      <w:r>
        <w:t>202</w:t>
      </w:r>
      <w:r w:rsidR="00856050">
        <w:t>4</w:t>
      </w:r>
      <w:r w:rsidR="00000158">
        <w:t xml:space="preserve"> de </w:t>
      </w:r>
      <w:r w:rsidR="00000158" w:rsidRPr="00000158">
        <w:rPr>
          <w:b/>
          <w:bCs/>
        </w:rPr>
        <w:t>la commune</w:t>
      </w:r>
      <w:r>
        <w:t xml:space="preserve"> est examiné et les comptes sont arrêtés </w:t>
      </w:r>
      <w:proofErr w:type="gramStart"/>
      <w:r>
        <w:t>comme</w:t>
      </w:r>
      <w:r w:rsidR="00E70E63">
        <w:t xml:space="preserve"> </w:t>
      </w:r>
      <w:r>
        <w:t xml:space="preserve"> suit</w:t>
      </w:r>
      <w:proofErr w:type="gramEnd"/>
      <w:r>
        <w:t> :</w:t>
      </w:r>
    </w:p>
    <w:tbl>
      <w:tblPr>
        <w:tblW w:w="9630" w:type="dxa"/>
        <w:tblInd w:w="105" w:type="dxa"/>
        <w:tblLayout w:type="fixed"/>
        <w:tblCellMar>
          <w:left w:w="10" w:type="dxa"/>
          <w:right w:w="10" w:type="dxa"/>
        </w:tblCellMar>
        <w:tblLook w:val="04A0" w:firstRow="1" w:lastRow="0" w:firstColumn="1" w:lastColumn="0" w:noHBand="0" w:noVBand="1"/>
      </w:tblPr>
      <w:tblGrid>
        <w:gridCol w:w="4815"/>
        <w:gridCol w:w="4815"/>
      </w:tblGrid>
      <w:tr w:rsidR="00EA70E9" w14:paraId="123BAFE4" w14:textId="77777777" w:rsidTr="00EA70E9">
        <w:tc>
          <w:tcPr>
            <w:tcW w:w="9635" w:type="dxa"/>
            <w:gridSpan w:val="2"/>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hideMark/>
          </w:tcPr>
          <w:p w14:paraId="27C38114" w14:textId="77777777" w:rsidR="00EA70E9" w:rsidRDefault="00EA70E9">
            <w:pPr>
              <w:pStyle w:val="Paragraphedeliste"/>
              <w:widowControl w:val="0"/>
              <w:ind w:left="0"/>
              <w:jc w:val="center"/>
              <w:rPr>
                <w:rFonts w:ascii="Calibri" w:eastAsia="Calibri" w:hAnsi="Calibri" w:cs="0"/>
                <w:kern w:val="0"/>
                <w:sz w:val="22"/>
                <w:szCs w:val="22"/>
                <w:lang w:eastAsia="en-US" w:bidi="ar-SA"/>
              </w:rPr>
            </w:pPr>
            <w:r>
              <w:rPr>
                <w:rFonts w:ascii="Calibri" w:eastAsia="Calibri" w:hAnsi="Calibri" w:cs="0"/>
                <w:kern w:val="0"/>
                <w:sz w:val="22"/>
                <w:szCs w:val="22"/>
                <w:lang w:eastAsia="en-US" w:bidi="ar-SA"/>
              </w:rPr>
              <w:t>FONCTIONNEMENT</w:t>
            </w:r>
          </w:p>
        </w:tc>
      </w:tr>
      <w:tr w:rsidR="00EA70E9" w14:paraId="221FE14D" w14:textId="77777777" w:rsidTr="00EA70E9">
        <w:tc>
          <w:tcPr>
            <w:tcW w:w="4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D76638" w14:textId="77777777" w:rsidR="00EA70E9" w:rsidRDefault="00EA70E9">
            <w:pPr>
              <w:pStyle w:val="Paragraphedeliste"/>
              <w:widowControl w:val="0"/>
              <w:ind w:left="0"/>
              <w:jc w:val="center"/>
              <w:rPr>
                <w:rFonts w:ascii="Calibri" w:eastAsia="Calibri" w:hAnsi="Calibri" w:cs="0"/>
                <w:b/>
                <w:kern w:val="0"/>
                <w:sz w:val="22"/>
                <w:szCs w:val="22"/>
                <w:lang w:eastAsia="en-US" w:bidi="ar-SA"/>
              </w:rPr>
            </w:pPr>
            <w:r>
              <w:rPr>
                <w:rFonts w:ascii="Calibri" w:eastAsia="Calibri" w:hAnsi="Calibri" w:cs="0"/>
                <w:b/>
                <w:kern w:val="0"/>
                <w:sz w:val="22"/>
                <w:szCs w:val="22"/>
                <w:lang w:eastAsia="en-US" w:bidi="ar-SA"/>
              </w:rPr>
              <w:t>Dépenses</w:t>
            </w:r>
          </w:p>
        </w:tc>
        <w:tc>
          <w:tcPr>
            <w:tcW w:w="4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792225" w14:textId="77777777" w:rsidR="00EA70E9" w:rsidRDefault="00EA70E9">
            <w:pPr>
              <w:pStyle w:val="Paragraphedeliste"/>
              <w:widowControl w:val="0"/>
              <w:ind w:left="0"/>
              <w:jc w:val="center"/>
              <w:rPr>
                <w:rFonts w:ascii="Calibri" w:eastAsia="Calibri" w:hAnsi="Calibri" w:cs="0"/>
                <w:b/>
                <w:kern w:val="0"/>
                <w:sz w:val="22"/>
                <w:szCs w:val="22"/>
                <w:lang w:eastAsia="en-US" w:bidi="ar-SA"/>
              </w:rPr>
            </w:pPr>
            <w:r>
              <w:rPr>
                <w:rFonts w:ascii="Calibri" w:eastAsia="Calibri" w:hAnsi="Calibri" w:cs="0"/>
                <w:b/>
                <w:kern w:val="0"/>
                <w:sz w:val="22"/>
                <w:szCs w:val="22"/>
                <w:lang w:eastAsia="en-US" w:bidi="ar-SA"/>
              </w:rPr>
              <w:t>Recettes</w:t>
            </w:r>
          </w:p>
        </w:tc>
      </w:tr>
      <w:tr w:rsidR="00EA70E9" w14:paraId="2FEA7410" w14:textId="77777777" w:rsidTr="00EA70E9">
        <w:tc>
          <w:tcPr>
            <w:tcW w:w="4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13041D" w14:textId="24E9C21E" w:rsidR="00EA70E9" w:rsidRDefault="00EA70E9">
            <w:pPr>
              <w:pStyle w:val="Paragraphedeliste"/>
              <w:widowControl w:val="0"/>
              <w:ind w:left="0"/>
              <w:rPr>
                <w:rFonts w:ascii="Calibri" w:eastAsia="Calibri" w:hAnsi="Calibri" w:cs="0"/>
                <w:kern w:val="0"/>
                <w:sz w:val="22"/>
                <w:szCs w:val="22"/>
                <w:lang w:eastAsia="en-US" w:bidi="ar-SA"/>
              </w:rPr>
            </w:pPr>
            <w:r>
              <w:rPr>
                <w:rFonts w:ascii="Calibri" w:eastAsia="Calibri" w:hAnsi="Calibri" w:cs="0"/>
                <w:kern w:val="0"/>
                <w:sz w:val="22"/>
                <w:szCs w:val="22"/>
                <w:lang w:eastAsia="en-US" w:bidi="ar-SA"/>
              </w:rPr>
              <w:t xml:space="preserve">Charges à caractère général                   </w:t>
            </w:r>
            <w:r w:rsidR="00856050">
              <w:rPr>
                <w:rFonts w:ascii="Calibri" w:eastAsia="Calibri" w:hAnsi="Calibri" w:cs="0"/>
                <w:kern w:val="0"/>
                <w:sz w:val="22"/>
                <w:szCs w:val="22"/>
                <w:lang w:eastAsia="en-US" w:bidi="ar-SA"/>
              </w:rPr>
              <w:t>113 305,01</w:t>
            </w:r>
            <w:r>
              <w:rPr>
                <w:rFonts w:ascii="Calibri" w:eastAsia="Calibri" w:hAnsi="Calibri" w:cs="0"/>
                <w:kern w:val="0"/>
                <w:sz w:val="22"/>
                <w:szCs w:val="22"/>
                <w:lang w:eastAsia="en-US" w:bidi="ar-SA"/>
              </w:rPr>
              <w:t xml:space="preserve"> €                      </w:t>
            </w:r>
          </w:p>
        </w:tc>
        <w:tc>
          <w:tcPr>
            <w:tcW w:w="4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91AEC4" w14:textId="66757D86" w:rsidR="00EA70E9" w:rsidRDefault="00EA70E9">
            <w:pPr>
              <w:pStyle w:val="Paragraphedeliste"/>
              <w:widowControl w:val="0"/>
              <w:ind w:left="0"/>
              <w:rPr>
                <w:rFonts w:ascii="Calibri" w:eastAsia="Calibri" w:hAnsi="Calibri" w:cs="0"/>
                <w:kern w:val="0"/>
                <w:sz w:val="22"/>
                <w:szCs w:val="22"/>
                <w:lang w:eastAsia="en-US" w:bidi="ar-SA"/>
              </w:rPr>
            </w:pPr>
            <w:r>
              <w:rPr>
                <w:rFonts w:ascii="Calibri" w:eastAsia="Calibri" w:hAnsi="Calibri" w:cs="0"/>
                <w:kern w:val="0"/>
                <w:sz w:val="22"/>
                <w:szCs w:val="22"/>
                <w:lang w:eastAsia="en-US" w:bidi="ar-SA"/>
              </w:rPr>
              <w:t>Produit du domaine (</w:t>
            </w:r>
            <w:proofErr w:type="gramStart"/>
            <w:r>
              <w:rPr>
                <w:rFonts w:ascii="Calibri" w:eastAsia="Calibri" w:hAnsi="Calibri" w:cs="0"/>
                <w:kern w:val="0"/>
                <w:sz w:val="22"/>
                <w:szCs w:val="22"/>
                <w:lang w:eastAsia="en-US" w:bidi="ar-SA"/>
              </w:rPr>
              <w:t xml:space="preserve">bois)   </w:t>
            </w:r>
            <w:proofErr w:type="gramEnd"/>
            <w:r>
              <w:rPr>
                <w:rFonts w:ascii="Calibri" w:eastAsia="Calibri" w:hAnsi="Calibri" w:cs="0"/>
                <w:kern w:val="0"/>
                <w:sz w:val="22"/>
                <w:szCs w:val="22"/>
                <w:lang w:eastAsia="en-US" w:bidi="ar-SA"/>
              </w:rPr>
              <w:t xml:space="preserve">                   </w:t>
            </w:r>
            <w:r w:rsidR="00D56459">
              <w:rPr>
                <w:rFonts w:ascii="Calibri" w:eastAsia="Calibri" w:hAnsi="Calibri" w:cs="0"/>
                <w:kern w:val="0"/>
                <w:sz w:val="22"/>
                <w:szCs w:val="22"/>
                <w:lang w:eastAsia="en-US" w:bidi="ar-SA"/>
              </w:rPr>
              <w:t>205 559,42</w:t>
            </w:r>
            <w:r>
              <w:rPr>
                <w:rFonts w:ascii="Calibri" w:eastAsia="Calibri" w:hAnsi="Calibri" w:cs="0"/>
                <w:kern w:val="0"/>
                <w:sz w:val="22"/>
                <w:szCs w:val="22"/>
                <w:lang w:eastAsia="en-US" w:bidi="ar-SA"/>
              </w:rPr>
              <w:t xml:space="preserve"> €</w:t>
            </w:r>
          </w:p>
        </w:tc>
      </w:tr>
      <w:tr w:rsidR="00EA70E9" w14:paraId="538BFC66" w14:textId="77777777" w:rsidTr="00EA70E9">
        <w:tc>
          <w:tcPr>
            <w:tcW w:w="4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736201" w14:textId="59BC44DD" w:rsidR="00EA70E9" w:rsidRDefault="00EA70E9">
            <w:pPr>
              <w:pStyle w:val="Paragraphedeliste"/>
              <w:widowControl w:val="0"/>
              <w:ind w:left="0"/>
              <w:rPr>
                <w:rFonts w:ascii="Calibri" w:eastAsia="Calibri" w:hAnsi="Calibri" w:cs="0"/>
                <w:kern w:val="0"/>
                <w:sz w:val="22"/>
                <w:szCs w:val="22"/>
                <w:lang w:eastAsia="en-US" w:bidi="ar-SA"/>
              </w:rPr>
            </w:pPr>
            <w:r>
              <w:rPr>
                <w:rFonts w:ascii="Calibri" w:eastAsia="Calibri" w:hAnsi="Calibri" w:cs="0"/>
                <w:kern w:val="0"/>
                <w:sz w:val="22"/>
                <w:szCs w:val="22"/>
                <w:lang w:eastAsia="en-US" w:bidi="ar-SA"/>
              </w:rPr>
              <w:t xml:space="preserve">Charges de personnel                                </w:t>
            </w:r>
            <w:r w:rsidR="00856050">
              <w:rPr>
                <w:rFonts w:ascii="Calibri" w:eastAsia="Calibri" w:hAnsi="Calibri" w:cs="0"/>
                <w:kern w:val="0"/>
                <w:sz w:val="22"/>
                <w:szCs w:val="22"/>
                <w:lang w:eastAsia="en-US" w:bidi="ar-SA"/>
              </w:rPr>
              <w:t>50 311,20</w:t>
            </w:r>
            <w:r>
              <w:rPr>
                <w:rFonts w:ascii="Calibri" w:eastAsia="Calibri" w:hAnsi="Calibri" w:cs="0"/>
                <w:kern w:val="0"/>
                <w:sz w:val="22"/>
                <w:szCs w:val="22"/>
                <w:lang w:eastAsia="en-US" w:bidi="ar-SA"/>
              </w:rPr>
              <w:t xml:space="preserve"> €      </w:t>
            </w:r>
          </w:p>
        </w:tc>
        <w:tc>
          <w:tcPr>
            <w:tcW w:w="4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83922F" w14:textId="1ED2CAB4" w:rsidR="00EA70E9" w:rsidRDefault="00C61EBC">
            <w:pPr>
              <w:pStyle w:val="Paragraphedeliste"/>
              <w:widowControl w:val="0"/>
              <w:ind w:left="0"/>
              <w:rPr>
                <w:rFonts w:ascii="Calibri" w:eastAsia="Calibri" w:hAnsi="Calibri" w:cs="0"/>
                <w:kern w:val="0"/>
                <w:sz w:val="22"/>
                <w:szCs w:val="22"/>
                <w:lang w:eastAsia="en-US" w:bidi="ar-SA"/>
              </w:rPr>
            </w:pPr>
            <w:r>
              <w:rPr>
                <w:rFonts w:ascii="Calibri" w:eastAsia="Calibri" w:hAnsi="Calibri" w:cs="0"/>
                <w:kern w:val="0"/>
                <w:sz w:val="22"/>
                <w:szCs w:val="22"/>
                <w:lang w:eastAsia="en-US" w:bidi="ar-SA"/>
              </w:rPr>
              <w:t>Fiscalité locale</w:t>
            </w:r>
            <w:r w:rsidR="00901B64">
              <w:rPr>
                <w:rFonts w:ascii="Calibri" w:eastAsia="Calibri" w:hAnsi="Calibri" w:cs="0"/>
                <w:kern w:val="0"/>
                <w:sz w:val="22"/>
                <w:szCs w:val="22"/>
                <w:lang w:eastAsia="en-US" w:bidi="ar-SA"/>
              </w:rPr>
              <w:t xml:space="preserve"> (</w:t>
            </w:r>
            <w:proofErr w:type="gramStart"/>
            <w:r w:rsidR="00901B64">
              <w:rPr>
                <w:rFonts w:ascii="Calibri" w:eastAsia="Calibri" w:hAnsi="Calibri" w:cs="0"/>
                <w:kern w:val="0"/>
                <w:sz w:val="22"/>
                <w:szCs w:val="22"/>
                <w:lang w:eastAsia="en-US" w:bidi="ar-SA"/>
              </w:rPr>
              <w:t xml:space="preserve">impôts)   </w:t>
            </w:r>
            <w:proofErr w:type="gramEnd"/>
            <w:r w:rsidR="00901B64">
              <w:rPr>
                <w:rFonts w:ascii="Calibri" w:eastAsia="Calibri" w:hAnsi="Calibri" w:cs="0"/>
                <w:kern w:val="0"/>
                <w:sz w:val="22"/>
                <w:szCs w:val="22"/>
                <w:lang w:eastAsia="en-US" w:bidi="ar-SA"/>
              </w:rPr>
              <w:t xml:space="preserve"> </w:t>
            </w:r>
            <w:r>
              <w:rPr>
                <w:rFonts w:ascii="Calibri" w:eastAsia="Calibri" w:hAnsi="Calibri" w:cs="0"/>
                <w:kern w:val="0"/>
                <w:sz w:val="22"/>
                <w:szCs w:val="22"/>
                <w:lang w:eastAsia="en-US" w:bidi="ar-SA"/>
              </w:rPr>
              <w:t xml:space="preserve">          </w:t>
            </w:r>
            <w:r w:rsidR="00EA70E9">
              <w:rPr>
                <w:rFonts w:ascii="Calibri" w:eastAsia="Calibri" w:hAnsi="Calibri" w:cs="0"/>
                <w:kern w:val="0"/>
                <w:sz w:val="22"/>
                <w:szCs w:val="22"/>
                <w:lang w:eastAsia="en-US" w:bidi="ar-SA"/>
              </w:rPr>
              <w:t xml:space="preserve">               </w:t>
            </w:r>
            <w:r w:rsidR="00D56459">
              <w:rPr>
                <w:rFonts w:ascii="Calibri" w:eastAsia="Calibri" w:hAnsi="Calibri" w:cs="0"/>
                <w:kern w:val="0"/>
                <w:sz w:val="22"/>
                <w:szCs w:val="22"/>
                <w:lang w:eastAsia="en-US" w:bidi="ar-SA"/>
              </w:rPr>
              <w:t>41 791,00</w:t>
            </w:r>
            <w:r w:rsidR="00EA70E9">
              <w:rPr>
                <w:rFonts w:ascii="Calibri" w:eastAsia="Calibri" w:hAnsi="Calibri" w:cs="0"/>
                <w:kern w:val="0"/>
                <w:sz w:val="22"/>
                <w:szCs w:val="22"/>
                <w:lang w:eastAsia="en-US" w:bidi="ar-SA"/>
              </w:rPr>
              <w:t xml:space="preserve"> €                 </w:t>
            </w:r>
          </w:p>
        </w:tc>
      </w:tr>
      <w:tr w:rsidR="00C61EBC" w14:paraId="0E31D16B" w14:textId="77777777" w:rsidTr="00EA70E9">
        <w:tc>
          <w:tcPr>
            <w:tcW w:w="4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1D509B" w14:textId="6731BBDA" w:rsidR="00C61EBC" w:rsidRDefault="00A0240C">
            <w:pPr>
              <w:pStyle w:val="Paragraphedeliste"/>
              <w:widowControl w:val="0"/>
              <w:ind w:left="0"/>
              <w:rPr>
                <w:rFonts w:ascii="Calibri" w:eastAsia="Calibri" w:hAnsi="Calibri" w:cs="0"/>
                <w:kern w:val="0"/>
                <w:sz w:val="22"/>
                <w:szCs w:val="22"/>
                <w:lang w:eastAsia="en-US" w:bidi="ar-SA"/>
              </w:rPr>
            </w:pPr>
            <w:r>
              <w:rPr>
                <w:rFonts w:ascii="Calibri" w:eastAsia="Calibri" w:hAnsi="Calibri" w:cs="0"/>
                <w:kern w:val="0"/>
                <w:sz w:val="22"/>
                <w:szCs w:val="22"/>
                <w:lang w:eastAsia="en-US" w:bidi="ar-SA"/>
              </w:rPr>
              <w:t>Charges de gestion courante                    62 167,52 €</w:t>
            </w:r>
          </w:p>
        </w:tc>
        <w:tc>
          <w:tcPr>
            <w:tcW w:w="4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AA0294" w14:textId="0B2CE579" w:rsidR="00C61EBC" w:rsidRDefault="00C61EBC">
            <w:pPr>
              <w:pStyle w:val="Paragraphedeliste"/>
              <w:widowControl w:val="0"/>
              <w:ind w:left="0"/>
              <w:rPr>
                <w:rFonts w:ascii="Calibri" w:eastAsia="Calibri" w:hAnsi="Calibri" w:cs="0"/>
                <w:kern w:val="0"/>
                <w:sz w:val="22"/>
                <w:szCs w:val="22"/>
                <w:lang w:eastAsia="en-US" w:bidi="ar-SA"/>
              </w:rPr>
            </w:pPr>
            <w:r>
              <w:rPr>
                <w:rFonts w:ascii="Calibri" w:eastAsia="Calibri" w:hAnsi="Calibri" w:cs="0"/>
                <w:kern w:val="0"/>
                <w:sz w:val="22"/>
                <w:szCs w:val="22"/>
                <w:lang w:eastAsia="en-US" w:bidi="ar-SA"/>
              </w:rPr>
              <w:t>Compensation CCHC et Fonds Départ    21 505,03</w:t>
            </w:r>
            <w:r w:rsidR="008026D9">
              <w:rPr>
                <w:rFonts w:ascii="Calibri" w:eastAsia="Calibri" w:hAnsi="Calibri" w:cs="0"/>
                <w:kern w:val="0"/>
                <w:sz w:val="22"/>
                <w:szCs w:val="22"/>
                <w:lang w:eastAsia="en-US" w:bidi="ar-SA"/>
              </w:rPr>
              <w:t xml:space="preserve"> </w:t>
            </w:r>
            <w:r>
              <w:rPr>
                <w:rFonts w:ascii="Calibri" w:eastAsia="Calibri" w:hAnsi="Calibri" w:cs="0"/>
                <w:kern w:val="0"/>
                <w:sz w:val="22"/>
                <w:szCs w:val="22"/>
                <w:lang w:eastAsia="en-US" w:bidi="ar-SA"/>
              </w:rPr>
              <w:t xml:space="preserve">€ </w:t>
            </w:r>
          </w:p>
        </w:tc>
      </w:tr>
      <w:tr w:rsidR="00EA70E9" w14:paraId="6D5C848E" w14:textId="77777777" w:rsidTr="00A0240C">
        <w:tc>
          <w:tcPr>
            <w:tcW w:w="4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5EC17A" w14:textId="7704F173" w:rsidR="00EA70E9" w:rsidRDefault="00A0240C">
            <w:pPr>
              <w:pStyle w:val="Paragraphedeliste"/>
              <w:widowControl w:val="0"/>
              <w:ind w:left="0"/>
              <w:rPr>
                <w:rFonts w:ascii="Calibri" w:eastAsia="Calibri" w:hAnsi="Calibri" w:cs="0"/>
                <w:kern w:val="0"/>
                <w:sz w:val="22"/>
                <w:szCs w:val="22"/>
                <w:lang w:eastAsia="en-US" w:bidi="ar-SA"/>
              </w:rPr>
            </w:pPr>
            <w:r>
              <w:rPr>
                <w:rFonts w:ascii="Calibri" w:eastAsia="Calibri" w:hAnsi="Calibri" w:cs="0"/>
                <w:kern w:val="0"/>
                <w:sz w:val="22"/>
                <w:szCs w:val="22"/>
                <w:lang w:eastAsia="en-US" w:bidi="ar-SA"/>
              </w:rPr>
              <w:t xml:space="preserve">Charges financières (intérêts </w:t>
            </w:r>
            <w:proofErr w:type="gramStart"/>
            <w:r>
              <w:rPr>
                <w:rFonts w:ascii="Calibri" w:eastAsia="Calibri" w:hAnsi="Calibri" w:cs="0"/>
                <w:kern w:val="0"/>
                <w:sz w:val="22"/>
                <w:szCs w:val="22"/>
                <w:lang w:eastAsia="en-US" w:bidi="ar-SA"/>
              </w:rPr>
              <w:t xml:space="preserve">prêts)   </w:t>
            </w:r>
            <w:proofErr w:type="gramEnd"/>
            <w:r>
              <w:rPr>
                <w:rFonts w:ascii="Calibri" w:eastAsia="Calibri" w:hAnsi="Calibri" w:cs="0"/>
                <w:kern w:val="0"/>
                <w:sz w:val="22"/>
                <w:szCs w:val="22"/>
                <w:lang w:eastAsia="en-US" w:bidi="ar-SA"/>
              </w:rPr>
              <w:t xml:space="preserve">          634,71 €</w:t>
            </w:r>
          </w:p>
        </w:tc>
        <w:tc>
          <w:tcPr>
            <w:tcW w:w="4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3138CB" w14:textId="7632AC5F" w:rsidR="00EA70E9" w:rsidRDefault="00EA70E9">
            <w:pPr>
              <w:pStyle w:val="Paragraphedeliste"/>
              <w:widowControl w:val="0"/>
              <w:ind w:left="0"/>
              <w:rPr>
                <w:rFonts w:ascii="Calibri" w:eastAsia="Calibri" w:hAnsi="Calibri" w:cs="0"/>
                <w:kern w:val="0"/>
                <w:sz w:val="22"/>
                <w:szCs w:val="22"/>
                <w:lang w:eastAsia="en-US" w:bidi="ar-SA"/>
              </w:rPr>
            </w:pPr>
            <w:r>
              <w:rPr>
                <w:rFonts w:ascii="Calibri" w:eastAsia="Calibri" w:hAnsi="Calibri" w:cs="0"/>
                <w:kern w:val="0"/>
                <w:sz w:val="22"/>
                <w:szCs w:val="22"/>
                <w:lang w:eastAsia="en-US" w:bidi="ar-SA"/>
              </w:rPr>
              <w:t>Dotations de l’Etat et participations</w:t>
            </w:r>
            <w:r w:rsidR="00D56459">
              <w:rPr>
                <w:rFonts w:ascii="Calibri" w:eastAsia="Calibri" w:hAnsi="Calibri" w:cs="0"/>
                <w:kern w:val="0"/>
                <w:sz w:val="22"/>
                <w:szCs w:val="22"/>
                <w:lang w:eastAsia="en-US" w:bidi="ar-SA"/>
              </w:rPr>
              <w:t xml:space="preserve">     </w:t>
            </w:r>
            <w:r>
              <w:rPr>
                <w:rFonts w:ascii="Calibri" w:eastAsia="Calibri" w:hAnsi="Calibri" w:cs="0"/>
                <w:kern w:val="0"/>
                <w:sz w:val="22"/>
                <w:szCs w:val="22"/>
                <w:lang w:eastAsia="en-US" w:bidi="ar-SA"/>
              </w:rPr>
              <w:t xml:space="preserve">  </w:t>
            </w:r>
            <w:r w:rsidR="00D56459">
              <w:rPr>
                <w:rFonts w:ascii="Calibri" w:eastAsia="Calibri" w:hAnsi="Calibri" w:cs="0"/>
                <w:kern w:val="0"/>
                <w:sz w:val="22"/>
                <w:szCs w:val="22"/>
                <w:lang w:eastAsia="en-US" w:bidi="ar-SA"/>
              </w:rPr>
              <w:t>64 649,</w:t>
            </w:r>
            <w:r w:rsidR="008026D9">
              <w:rPr>
                <w:rFonts w:ascii="Calibri" w:eastAsia="Calibri" w:hAnsi="Calibri" w:cs="0"/>
                <w:kern w:val="0"/>
                <w:sz w:val="22"/>
                <w:szCs w:val="22"/>
                <w:lang w:eastAsia="en-US" w:bidi="ar-SA"/>
              </w:rPr>
              <w:t>18</w:t>
            </w:r>
            <w:r>
              <w:rPr>
                <w:rFonts w:ascii="Calibri" w:eastAsia="Calibri" w:hAnsi="Calibri" w:cs="0"/>
                <w:kern w:val="0"/>
                <w:sz w:val="22"/>
                <w:szCs w:val="22"/>
                <w:lang w:eastAsia="en-US" w:bidi="ar-SA"/>
              </w:rPr>
              <w:t xml:space="preserve"> €</w:t>
            </w:r>
          </w:p>
        </w:tc>
      </w:tr>
      <w:tr w:rsidR="00EA70E9" w14:paraId="712ADBCE" w14:textId="77777777" w:rsidTr="00EA70E9">
        <w:tc>
          <w:tcPr>
            <w:tcW w:w="4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56405D" w14:textId="13AFB0DB" w:rsidR="00EA70E9" w:rsidRDefault="00EA70E9">
            <w:pPr>
              <w:pStyle w:val="Paragraphedeliste"/>
              <w:widowControl w:val="0"/>
              <w:ind w:left="0"/>
              <w:rPr>
                <w:rFonts w:ascii="Calibri" w:eastAsia="Calibri" w:hAnsi="Calibri" w:cs="0"/>
                <w:kern w:val="0"/>
                <w:sz w:val="22"/>
                <w:szCs w:val="22"/>
                <w:lang w:eastAsia="en-US" w:bidi="ar-SA"/>
              </w:rPr>
            </w:pPr>
          </w:p>
        </w:tc>
        <w:tc>
          <w:tcPr>
            <w:tcW w:w="4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EFDE2B" w14:textId="5780DFE4" w:rsidR="00EA70E9" w:rsidRDefault="00EA70E9">
            <w:pPr>
              <w:pStyle w:val="Paragraphedeliste"/>
              <w:widowControl w:val="0"/>
              <w:ind w:left="0"/>
              <w:rPr>
                <w:rFonts w:ascii="Calibri" w:eastAsia="Calibri" w:hAnsi="Calibri" w:cs="0"/>
                <w:kern w:val="0"/>
                <w:sz w:val="22"/>
                <w:szCs w:val="22"/>
                <w:lang w:eastAsia="en-US" w:bidi="ar-SA"/>
              </w:rPr>
            </w:pPr>
            <w:r>
              <w:rPr>
                <w:rFonts w:ascii="Calibri" w:eastAsia="Calibri" w:hAnsi="Calibri" w:cs="0"/>
                <w:kern w:val="0"/>
                <w:sz w:val="22"/>
                <w:szCs w:val="22"/>
                <w:lang w:eastAsia="en-US" w:bidi="ar-SA"/>
              </w:rPr>
              <w:t>Produits gestion courante (</w:t>
            </w:r>
            <w:proofErr w:type="gramStart"/>
            <w:r>
              <w:rPr>
                <w:rFonts w:ascii="Calibri" w:eastAsia="Calibri" w:hAnsi="Calibri" w:cs="0"/>
                <w:kern w:val="0"/>
                <w:sz w:val="22"/>
                <w:szCs w:val="22"/>
                <w:lang w:eastAsia="en-US" w:bidi="ar-SA"/>
              </w:rPr>
              <w:t xml:space="preserve">locations)   </w:t>
            </w:r>
            <w:proofErr w:type="gramEnd"/>
            <w:r w:rsidR="00D56459">
              <w:rPr>
                <w:rFonts w:ascii="Calibri" w:eastAsia="Calibri" w:hAnsi="Calibri" w:cs="0"/>
                <w:kern w:val="0"/>
                <w:sz w:val="22"/>
                <w:szCs w:val="22"/>
                <w:lang w:eastAsia="en-US" w:bidi="ar-SA"/>
              </w:rPr>
              <w:t xml:space="preserve"> </w:t>
            </w:r>
            <w:r>
              <w:rPr>
                <w:rFonts w:ascii="Calibri" w:eastAsia="Calibri" w:hAnsi="Calibri" w:cs="0"/>
                <w:kern w:val="0"/>
                <w:sz w:val="22"/>
                <w:szCs w:val="22"/>
                <w:lang w:eastAsia="en-US" w:bidi="ar-SA"/>
              </w:rPr>
              <w:t xml:space="preserve"> </w:t>
            </w:r>
            <w:r w:rsidR="00D56459">
              <w:rPr>
                <w:rFonts w:ascii="Calibri" w:eastAsia="Calibri" w:hAnsi="Calibri" w:cs="0"/>
                <w:kern w:val="0"/>
                <w:sz w:val="22"/>
                <w:szCs w:val="22"/>
                <w:lang w:eastAsia="en-US" w:bidi="ar-SA"/>
              </w:rPr>
              <w:t>33 613,96</w:t>
            </w:r>
            <w:r>
              <w:rPr>
                <w:rFonts w:ascii="Calibri" w:eastAsia="Calibri" w:hAnsi="Calibri" w:cs="0"/>
                <w:kern w:val="0"/>
                <w:sz w:val="22"/>
                <w:szCs w:val="22"/>
                <w:lang w:eastAsia="en-US" w:bidi="ar-SA"/>
              </w:rPr>
              <w:t xml:space="preserve"> €</w:t>
            </w:r>
          </w:p>
        </w:tc>
      </w:tr>
      <w:tr w:rsidR="00EA70E9" w14:paraId="6BC6782C" w14:textId="77777777" w:rsidTr="00856050">
        <w:tc>
          <w:tcPr>
            <w:tcW w:w="4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3F52EB" w14:textId="73ADDBC4" w:rsidR="00EA70E9" w:rsidRDefault="00EA70E9">
            <w:pPr>
              <w:pStyle w:val="Paragraphedeliste"/>
              <w:widowControl w:val="0"/>
              <w:ind w:left="0"/>
              <w:rPr>
                <w:rFonts w:ascii="Calibri" w:eastAsia="Calibri" w:hAnsi="Calibri" w:cs="0"/>
                <w:kern w:val="0"/>
                <w:sz w:val="22"/>
                <w:szCs w:val="22"/>
                <w:lang w:eastAsia="en-US" w:bidi="ar-SA"/>
              </w:rPr>
            </w:pPr>
          </w:p>
        </w:tc>
        <w:tc>
          <w:tcPr>
            <w:tcW w:w="4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5CB632" w14:textId="23D77547" w:rsidR="00EA70E9" w:rsidRDefault="00EA70E9">
            <w:pPr>
              <w:pStyle w:val="Paragraphedeliste"/>
              <w:widowControl w:val="0"/>
              <w:ind w:left="0"/>
              <w:rPr>
                <w:rFonts w:ascii="Calibri" w:eastAsia="Calibri" w:hAnsi="Calibri" w:cs="0"/>
                <w:kern w:val="0"/>
                <w:sz w:val="22"/>
                <w:szCs w:val="22"/>
                <w:lang w:eastAsia="en-US" w:bidi="ar-SA"/>
              </w:rPr>
            </w:pPr>
            <w:r>
              <w:rPr>
                <w:rFonts w:ascii="Calibri" w:eastAsia="Calibri" w:hAnsi="Calibri" w:cs="0"/>
                <w:kern w:val="0"/>
                <w:sz w:val="22"/>
                <w:szCs w:val="22"/>
                <w:lang w:eastAsia="en-US" w:bidi="ar-SA"/>
              </w:rPr>
              <w:t xml:space="preserve">Produits spécifiques                                        </w:t>
            </w:r>
            <w:r w:rsidR="00D56459">
              <w:rPr>
                <w:rFonts w:ascii="Calibri" w:eastAsia="Calibri" w:hAnsi="Calibri" w:cs="0"/>
                <w:kern w:val="0"/>
                <w:sz w:val="22"/>
                <w:szCs w:val="22"/>
                <w:lang w:eastAsia="en-US" w:bidi="ar-SA"/>
              </w:rPr>
              <w:t>135,69</w:t>
            </w:r>
            <w:r>
              <w:rPr>
                <w:rFonts w:ascii="Calibri" w:eastAsia="Calibri" w:hAnsi="Calibri" w:cs="0"/>
                <w:kern w:val="0"/>
                <w:sz w:val="22"/>
                <w:szCs w:val="22"/>
                <w:lang w:eastAsia="en-US" w:bidi="ar-SA"/>
              </w:rPr>
              <w:t xml:space="preserve"> €</w:t>
            </w:r>
          </w:p>
        </w:tc>
      </w:tr>
      <w:tr w:rsidR="00EA70E9" w14:paraId="2BB9475F" w14:textId="77777777" w:rsidTr="00856050">
        <w:tc>
          <w:tcPr>
            <w:tcW w:w="4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FD3249" w14:textId="6FD4D59A" w:rsidR="00EA70E9" w:rsidRDefault="00EA70E9">
            <w:pPr>
              <w:pStyle w:val="Paragraphedeliste"/>
              <w:widowControl w:val="0"/>
              <w:ind w:left="0"/>
              <w:rPr>
                <w:rFonts w:ascii="Calibri" w:eastAsia="Calibri" w:hAnsi="Calibri" w:cs="0"/>
                <w:kern w:val="0"/>
                <w:sz w:val="22"/>
                <w:szCs w:val="22"/>
                <w:lang w:eastAsia="en-US" w:bidi="ar-SA"/>
              </w:rPr>
            </w:pPr>
          </w:p>
        </w:tc>
        <w:tc>
          <w:tcPr>
            <w:tcW w:w="4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7EEF91" w14:textId="4B6E9C68" w:rsidR="00EA70E9" w:rsidRDefault="00EA70E9">
            <w:pPr>
              <w:pStyle w:val="Paragraphedeliste"/>
              <w:widowControl w:val="0"/>
              <w:ind w:left="0"/>
              <w:rPr>
                <w:rFonts w:ascii="Calibri" w:eastAsia="Calibri" w:hAnsi="Calibri" w:cs="0"/>
                <w:kern w:val="0"/>
                <w:sz w:val="22"/>
                <w:szCs w:val="22"/>
                <w:lang w:eastAsia="en-US" w:bidi="ar-SA"/>
              </w:rPr>
            </w:pPr>
            <w:r>
              <w:rPr>
                <w:rFonts w:ascii="Calibri" w:eastAsia="Calibri" w:hAnsi="Calibri" w:cs="0"/>
                <w:kern w:val="0"/>
                <w:sz w:val="22"/>
                <w:szCs w:val="22"/>
                <w:lang w:eastAsia="en-US" w:bidi="ar-SA"/>
              </w:rPr>
              <w:t xml:space="preserve">Atténuation de charges                             </w:t>
            </w:r>
            <w:r w:rsidR="00D56459">
              <w:rPr>
                <w:rFonts w:ascii="Calibri" w:eastAsia="Calibri" w:hAnsi="Calibri" w:cs="0"/>
                <w:kern w:val="0"/>
                <w:sz w:val="22"/>
                <w:szCs w:val="22"/>
                <w:lang w:eastAsia="en-US" w:bidi="ar-SA"/>
              </w:rPr>
              <w:t xml:space="preserve">     197,00</w:t>
            </w:r>
            <w:r>
              <w:rPr>
                <w:rFonts w:ascii="Calibri" w:eastAsia="Calibri" w:hAnsi="Calibri" w:cs="0"/>
                <w:kern w:val="0"/>
                <w:sz w:val="22"/>
                <w:szCs w:val="22"/>
                <w:lang w:eastAsia="en-US" w:bidi="ar-SA"/>
              </w:rPr>
              <w:t xml:space="preserve"> € </w:t>
            </w:r>
          </w:p>
        </w:tc>
      </w:tr>
      <w:tr w:rsidR="00EA70E9" w14:paraId="0494FA32" w14:textId="77777777" w:rsidTr="00EA70E9">
        <w:tc>
          <w:tcPr>
            <w:tcW w:w="4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F3DC1A" w14:textId="77777777" w:rsidR="00EA70E9" w:rsidRDefault="00EA70E9">
            <w:pPr>
              <w:pStyle w:val="Paragraphedeliste"/>
              <w:widowControl w:val="0"/>
              <w:ind w:left="0"/>
              <w:rPr>
                <w:rFonts w:ascii="Calibri" w:eastAsia="Calibri" w:hAnsi="Calibri" w:cs="0"/>
                <w:kern w:val="0"/>
                <w:sz w:val="22"/>
                <w:szCs w:val="22"/>
                <w:lang w:eastAsia="en-US" w:bidi="ar-SA"/>
              </w:rPr>
            </w:pPr>
          </w:p>
        </w:tc>
        <w:tc>
          <w:tcPr>
            <w:tcW w:w="4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4FD46C" w14:textId="2003D100" w:rsidR="00EA70E9" w:rsidRDefault="00EA70E9">
            <w:pPr>
              <w:pStyle w:val="Paragraphedeliste"/>
              <w:widowControl w:val="0"/>
              <w:ind w:left="0"/>
              <w:rPr>
                <w:rFonts w:ascii="Calibri" w:eastAsia="Calibri" w:hAnsi="Calibri" w:cs="0"/>
                <w:kern w:val="0"/>
                <w:sz w:val="22"/>
                <w:szCs w:val="22"/>
                <w:lang w:eastAsia="en-US" w:bidi="ar-SA"/>
              </w:rPr>
            </w:pPr>
            <w:r>
              <w:rPr>
                <w:rFonts w:ascii="Calibri" w:eastAsia="Calibri" w:hAnsi="Calibri" w:cs="0"/>
                <w:kern w:val="0"/>
                <w:sz w:val="22"/>
                <w:szCs w:val="22"/>
                <w:lang w:eastAsia="en-US" w:bidi="ar-SA"/>
              </w:rPr>
              <w:t xml:space="preserve">Produits financiers                                               </w:t>
            </w:r>
            <w:r w:rsidR="00D56459">
              <w:rPr>
                <w:rFonts w:ascii="Calibri" w:eastAsia="Calibri" w:hAnsi="Calibri" w:cs="0"/>
                <w:kern w:val="0"/>
                <w:sz w:val="22"/>
                <w:szCs w:val="22"/>
                <w:lang w:eastAsia="en-US" w:bidi="ar-SA"/>
              </w:rPr>
              <w:t>5,43</w:t>
            </w:r>
            <w:r>
              <w:rPr>
                <w:rFonts w:ascii="Calibri" w:eastAsia="Calibri" w:hAnsi="Calibri" w:cs="0"/>
                <w:kern w:val="0"/>
                <w:sz w:val="22"/>
                <w:szCs w:val="22"/>
                <w:lang w:eastAsia="en-US" w:bidi="ar-SA"/>
              </w:rPr>
              <w:t xml:space="preserve"> €</w:t>
            </w:r>
          </w:p>
        </w:tc>
      </w:tr>
      <w:tr w:rsidR="00EA70E9" w14:paraId="4AD761E0" w14:textId="77777777" w:rsidTr="00EA70E9">
        <w:tc>
          <w:tcPr>
            <w:tcW w:w="481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624F042A" w14:textId="4B5A4C54" w:rsidR="00EA70E9" w:rsidRDefault="00EA70E9">
            <w:pPr>
              <w:pStyle w:val="Paragraphedeliste"/>
              <w:widowControl w:val="0"/>
              <w:ind w:left="0"/>
            </w:pPr>
            <w:r>
              <w:rPr>
                <w:rFonts w:ascii="Calibri" w:eastAsia="Calibri" w:hAnsi="Calibri" w:cs="0"/>
                <w:b/>
                <w:kern w:val="0"/>
                <w:sz w:val="22"/>
                <w:szCs w:val="22"/>
                <w:lang w:eastAsia="en-US" w:bidi="ar-SA"/>
              </w:rPr>
              <w:t xml:space="preserve">TOTAL </w:t>
            </w:r>
            <w:r>
              <w:rPr>
                <w:rFonts w:ascii="Calibri" w:eastAsia="Calibri" w:hAnsi="Calibri" w:cs="0"/>
                <w:kern w:val="0"/>
                <w:sz w:val="22"/>
                <w:szCs w:val="22"/>
                <w:lang w:eastAsia="en-US" w:bidi="ar-SA"/>
              </w:rPr>
              <w:t xml:space="preserve">                                                        </w:t>
            </w:r>
            <w:r>
              <w:rPr>
                <w:rFonts w:ascii="Calibri" w:eastAsia="Calibri" w:hAnsi="Calibri" w:cs="0"/>
                <w:b/>
                <w:bCs/>
                <w:kern w:val="0"/>
                <w:sz w:val="22"/>
                <w:szCs w:val="22"/>
                <w:lang w:eastAsia="en-US" w:bidi="ar-SA"/>
              </w:rPr>
              <w:t>2</w:t>
            </w:r>
            <w:r w:rsidR="00856050">
              <w:rPr>
                <w:rFonts w:ascii="Calibri" w:eastAsia="Calibri" w:hAnsi="Calibri" w:cs="0"/>
                <w:b/>
                <w:bCs/>
                <w:kern w:val="0"/>
                <w:sz w:val="22"/>
                <w:szCs w:val="22"/>
                <w:lang w:eastAsia="en-US" w:bidi="ar-SA"/>
              </w:rPr>
              <w:t>26 418,44</w:t>
            </w:r>
            <w:r>
              <w:rPr>
                <w:rFonts w:ascii="Calibri" w:eastAsia="Calibri" w:hAnsi="Calibri" w:cs="0"/>
                <w:b/>
                <w:bCs/>
                <w:kern w:val="0"/>
                <w:sz w:val="22"/>
                <w:szCs w:val="22"/>
                <w:lang w:eastAsia="en-US" w:bidi="ar-SA"/>
              </w:rPr>
              <w:t xml:space="preserve"> €</w:t>
            </w:r>
          </w:p>
        </w:tc>
        <w:tc>
          <w:tcPr>
            <w:tcW w:w="481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0C5F9B59" w14:textId="76509F29" w:rsidR="00EA70E9" w:rsidRDefault="00EA70E9">
            <w:pPr>
              <w:pStyle w:val="Paragraphedeliste"/>
              <w:widowControl w:val="0"/>
              <w:ind w:left="0"/>
            </w:pPr>
            <w:r>
              <w:rPr>
                <w:rFonts w:ascii="Calibri" w:eastAsia="Calibri" w:hAnsi="Calibri" w:cs="0"/>
                <w:b/>
                <w:kern w:val="0"/>
                <w:sz w:val="22"/>
                <w:szCs w:val="22"/>
                <w:lang w:eastAsia="en-US" w:bidi="ar-SA"/>
              </w:rPr>
              <w:t xml:space="preserve">TOTAL   </w:t>
            </w:r>
            <w:r>
              <w:rPr>
                <w:rFonts w:ascii="Calibri" w:eastAsia="Calibri" w:hAnsi="Calibri" w:cs="0"/>
                <w:kern w:val="0"/>
                <w:sz w:val="22"/>
                <w:szCs w:val="22"/>
                <w:lang w:eastAsia="en-US" w:bidi="ar-SA"/>
              </w:rPr>
              <w:t xml:space="preserve">                                                      </w:t>
            </w:r>
            <w:r w:rsidR="00541BF7">
              <w:rPr>
                <w:rFonts w:ascii="Calibri" w:eastAsia="Calibri" w:hAnsi="Calibri" w:cs="0"/>
                <w:b/>
                <w:bCs/>
                <w:kern w:val="0"/>
                <w:sz w:val="22"/>
                <w:szCs w:val="22"/>
                <w:lang w:eastAsia="en-US" w:bidi="ar-SA"/>
              </w:rPr>
              <w:t>367 456,71</w:t>
            </w:r>
            <w:r>
              <w:rPr>
                <w:rFonts w:ascii="Calibri" w:eastAsia="Calibri" w:hAnsi="Calibri" w:cs="0"/>
                <w:b/>
                <w:bCs/>
                <w:kern w:val="0"/>
                <w:sz w:val="22"/>
                <w:szCs w:val="22"/>
                <w:lang w:eastAsia="en-US" w:bidi="ar-SA"/>
              </w:rPr>
              <w:t xml:space="preserve"> </w:t>
            </w:r>
            <w:r>
              <w:rPr>
                <w:rFonts w:ascii="Calibri" w:eastAsia="Calibri" w:hAnsi="Calibri" w:cs="0"/>
                <w:b/>
                <w:kern w:val="0"/>
                <w:sz w:val="22"/>
                <w:szCs w:val="22"/>
                <w:lang w:eastAsia="en-US" w:bidi="ar-SA"/>
              </w:rPr>
              <w:t>€</w:t>
            </w:r>
          </w:p>
        </w:tc>
      </w:tr>
    </w:tbl>
    <w:p w14:paraId="43D29F39" w14:textId="77777777" w:rsidR="00EA70E9" w:rsidRDefault="00EA70E9" w:rsidP="00EA70E9">
      <w:pPr>
        <w:pStyle w:val="Paragraphedeliste"/>
        <w:widowControl w:val="0"/>
        <w:tabs>
          <w:tab w:val="left" w:pos="76"/>
        </w:tabs>
        <w:spacing w:line="276" w:lineRule="auto"/>
        <w:ind w:left="218"/>
        <w:jc w:val="both"/>
      </w:pPr>
    </w:p>
    <w:tbl>
      <w:tblPr>
        <w:tblW w:w="9645" w:type="dxa"/>
        <w:tblInd w:w="137" w:type="dxa"/>
        <w:tblLayout w:type="fixed"/>
        <w:tblCellMar>
          <w:left w:w="10" w:type="dxa"/>
          <w:right w:w="10" w:type="dxa"/>
        </w:tblCellMar>
        <w:tblLook w:val="04A0" w:firstRow="1" w:lastRow="0" w:firstColumn="1" w:lastColumn="0" w:noHBand="0" w:noVBand="1"/>
      </w:tblPr>
      <w:tblGrid>
        <w:gridCol w:w="4822"/>
        <w:gridCol w:w="4823"/>
      </w:tblGrid>
      <w:tr w:rsidR="00EA70E9" w14:paraId="7F72982D" w14:textId="77777777" w:rsidTr="00E70E63">
        <w:tc>
          <w:tcPr>
            <w:tcW w:w="9645" w:type="dxa"/>
            <w:gridSpan w:val="2"/>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0233272D" w14:textId="061B3F94" w:rsidR="00EA70E9" w:rsidRDefault="00EA70E9">
            <w:pPr>
              <w:pStyle w:val="Standard"/>
              <w:widowControl w:val="0"/>
              <w:jc w:val="center"/>
              <w:rPr>
                <w:rFonts w:ascii="Calibri" w:eastAsia="Calibri" w:hAnsi="Calibri" w:cs="0"/>
                <w:kern w:val="0"/>
                <w:sz w:val="22"/>
                <w:szCs w:val="22"/>
                <w:lang w:eastAsia="en-US" w:bidi="ar-SA"/>
              </w:rPr>
            </w:pPr>
          </w:p>
        </w:tc>
      </w:tr>
      <w:tr w:rsidR="00EA70E9" w14:paraId="3AD20F51" w14:textId="77777777" w:rsidTr="00E70E63">
        <w:tc>
          <w:tcPr>
            <w:tcW w:w="48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44E458" w14:textId="77777777" w:rsidR="00EA70E9" w:rsidRDefault="00EA70E9">
            <w:pPr>
              <w:pStyle w:val="Standard"/>
              <w:widowControl w:val="0"/>
              <w:jc w:val="center"/>
              <w:rPr>
                <w:rFonts w:ascii="Calibri" w:eastAsia="Calibri" w:hAnsi="Calibri" w:cs="0"/>
                <w:b/>
                <w:kern w:val="0"/>
                <w:sz w:val="22"/>
                <w:szCs w:val="22"/>
                <w:lang w:eastAsia="en-US" w:bidi="ar-SA"/>
              </w:rPr>
            </w:pPr>
            <w:r>
              <w:rPr>
                <w:rFonts w:ascii="Calibri" w:eastAsia="Calibri" w:hAnsi="Calibri" w:cs="0"/>
                <w:b/>
                <w:kern w:val="0"/>
                <w:sz w:val="22"/>
                <w:szCs w:val="22"/>
                <w:lang w:eastAsia="en-US" w:bidi="ar-SA"/>
              </w:rPr>
              <w:t>Dépenses</w:t>
            </w:r>
          </w:p>
        </w:tc>
        <w:tc>
          <w:tcPr>
            <w:tcW w:w="4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F8E765" w14:textId="5E62CA3C" w:rsidR="00EA70E9" w:rsidRDefault="00EA70E9">
            <w:pPr>
              <w:pStyle w:val="Standard"/>
              <w:widowControl w:val="0"/>
              <w:jc w:val="center"/>
              <w:rPr>
                <w:rFonts w:ascii="Calibri" w:eastAsia="Calibri" w:hAnsi="Calibri" w:cs="0"/>
                <w:b/>
                <w:kern w:val="0"/>
                <w:sz w:val="22"/>
                <w:szCs w:val="22"/>
                <w:lang w:eastAsia="en-US" w:bidi="ar-SA"/>
              </w:rPr>
            </w:pPr>
          </w:p>
        </w:tc>
      </w:tr>
      <w:tr w:rsidR="00EA70E9" w14:paraId="621830B4" w14:textId="77777777" w:rsidTr="00903E10">
        <w:tc>
          <w:tcPr>
            <w:tcW w:w="48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A2798F" w14:textId="51157FA6" w:rsidR="00EA70E9" w:rsidRDefault="00EA70E9">
            <w:pPr>
              <w:pStyle w:val="Standard"/>
              <w:widowControl w:val="0"/>
              <w:rPr>
                <w:rFonts w:ascii="Calibri" w:eastAsia="Calibri" w:hAnsi="Calibri" w:cs="0"/>
                <w:kern w:val="0"/>
                <w:sz w:val="22"/>
                <w:szCs w:val="22"/>
                <w:lang w:eastAsia="en-US" w:bidi="ar-SA"/>
              </w:rPr>
            </w:pPr>
            <w:r>
              <w:rPr>
                <w:rFonts w:ascii="Calibri" w:eastAsia="Calibri" w:hAnsi="Calibri" w:cs="0"/>
                <w:kern w:val="0"/>
                <w:sz w:val="22"/>
                <w:szCs w:val="22"/>
                <w:lang w:eastAsia="en-US" w:bidi="ar-SA"/>
              </w:rPr>
              <w:t>Remboursement emprunts (</w:t>
            </w:r>
            <w:proofErr w:type="gramStart"/>
            <w:r>
              <w:rPr>
                <w:rFonts w:ascii="Calibri" w:eastAsia="Calibri" w:hAnsi="Calibri" w:cs="0"/>
                <w:kern w:val="0"/>
                <w:sz w:val="22"/>
                <w:szCs w:val="22"/>
                <w:lang w:eastAsia="en-US" w:bidi="ar-SA"/>
              </w:rPr>
              <w:t xml:space="preserve">capital)  </w:t>
            </w:r>
            <w:r w:rsidR="00903E10">
              <w:rPr>
                <w:rFonts w:ascii="Calibri" w:eastAsia="Calibri" w:hAnsi="Calibri" w:cs="0"/>
                <w:kern w:val="0"/>
                <w:sz w:val="22"/>
                <w:szCs w:val="22"/>
                <w:lang w:eastAsia="en-US" w:bidi="ar-SA"/>
              </w:rPr>
              <w:t xml:space="preserve"> </w:t>
            </w:r>
            <w:proofErr w:type="gramEnd"/>
            <w:r w:rsidR="00903E10">
              <w:rPr>
                <w:rFonts w:ascii="Calibri" w:eastAsia="Calibri" w:hAnsi="Calibri" w:cs="0"/>
                <w:kern w:val="0"/>
                <w:sz w:val="22"/>
                <w:szCs w:val="22"/>
                <w:lang w:eastAsia="en-US" w:bidi="ar-SA"/>
              </w:rPr>
              <w:t xml:space="preserve">   25 856,98</w:t>
            </w:r>
            <w:r>
              <w:rPr>
                <w:rFonts w:ascii="Calibri" w:eastAsia="Calibri" w:hAnsi="Calibri" w:cs="0"/>
                <w:kern w:val="0"/>
                <w:sz w:val="22"/>
                <w:szCs w:val="22"/>
                <w:lang w:eastAsia="en-US" w:bidi="ar-SA"/>
              </w:rPr>
              <w:t xml:space="preserve"> €</w:t>
            </w:r>
          </w:p>
        </w:tc>
        <w:tc>
          <w:tcPr>
            <w:tcW w:w="4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1E2257" w14:textId="48FB1DD8" w:rsidR="00EA70E9" w:rsidRDefault="00EA70E9">
            <w:pPr>
              <w:pStyle w:val="Standard"/>
              <w:widowControl w:val="0"/>
              <w:rPr>
                <w:rFonts w:ascii="Calibri" w:eastAsia="Calibri" w:hAnsi="Calibri" w:cs="0"/>
                <w:kern w:val="0"/>
                <w:sz w:val="22"/>
                <w:szCs w:val="22"/>
                <w:lang w:eastAsia="en-US" w:bidi="ar-SA"/>
              </w:rPr>
            </w:pPr>
            <w:r>
              <w:rPr>
                <w:rFonts w:ascii="Calibri" w:eastAsia="Calibri" w:hAnsi="Calibri" w:cs="0"/>
                <w:kern w:val="0"/>
                <w:sz w:val="22"/>
                <w:szCs w:val="22"/>
                <w:lang w:eastAsia="en-US" w:bidi="ar-SA"/>
              </w:rPr>
              <w:t>Subventions</w:t>
            </w:r>
            <w:r w:rsidR="00DB04A0">
              <w:rPr>
                <w:rFonts w:ascii="Calibri" w:eastAsia="Calibri" w:hAnsi="Calibri" w:cs="0"/>
                <w:kern w:val="0"/>
                <w:sz w:val="22"/>
                <w:szCs w:val="22"/>
                <w:lang w:eastAsia="en-US" w:bidi="ar-SA"/>
              </w:rPr>
              <w:t xml:space="preserve"> (dont toit </w:t>
            </w:r>
            <w:proofErr w:type="gramStart"/>
            <w:r w:rsidR="00DB04A0">
              <w:rPr>
                <w:rFonts w:ascii="Calibri" w:eastAsia="Calibri" w:hAnsi="Calibri" w:cs="0"/>
                <w:kern w:val="0"/>
                <w:sz w:val="22"/>
                <w:szCs w:val="22"/>
                <w:lang w:eastAsia="en-US" w:bidi="ar-SA"/>
              </w:rPr>
              <w:t>église)</w:t>
            </w:r>
            <w:r>
              <w:rPr>
                <w:rFonts w:ascii="Calibri" w:eastAsia="Calibri" w:hAnsi="Calibri" w:cs="0"/>
                <w:kern w:val="0"/>
                <w:sz w:val="22"/>
                <w:szCs w:val="22"/>
                <w:lang w:eastAsia="en-US" w:bidi="ar-SA"/>
              </w:rPr>
              <w:t xml:space="preserve">   </w:t>
            </w:r>
            <w:proofErr w:type="gramEnd"/>
            <w:r>
              <w:rPr>
                <w:rFonts w:ascii="Calibri" w:eastAsia="Calibri" w:hAnsi="Calibri" w:cs="0"/>
                <w:kern w:val="0"/>
                <w:sz w:val="22"/>
                <w:szCs w:val="22"/>
                <w:lang w:eastAsia="en-US" w:bidi="ar-SA"/>
              </w:rPr>
              <w:t xml:space="preserve">  </w:t>
            </w:r>
            <w:r w:rsidR="00DB04A0">
              <w:rPr>
                <w:rFonts w:ascii="Calibri" w:eastAsia="Calibri" w:hAnsi="Calibri" w:cs="0"/>
                <w:kern w:val="0"/>
                <w:sz w:val="22"/>
                <w:szCs w:val="22"/>
                <w:lang w:eastAsia="en-US" w:bidi="ar-SA"/>
              </w:rPr>
              <w:t xml:space="preserve">        </w:t>
            </w:r>
            <w:r>
              <w:rPr>
                <w:rFonts w:ascii="Calibri" w:eastAsia="Calibri" w:hAnsi="Calibri" w:cs="0"/>
                <w:kern w:val="0"/>
                <w:sz w:val="22"/>
                <w:szCs w:val="22"/>
                <w:lang w:eastAsia="en-US" w:bidi="ar-SA"/>
              </w:rPr>
              <w:t xml:space="preserve">   </w:t>
            </w:r>
            <w:r w:rsidR="00903E10">
              <w:rPr>
                <w:rFonts w:ascii="Calibri" w:eastAsia="Calibri" w:hAnsi="Calibri" w:cs="0"/>
                <w:kern w:val="0"/>
                <w:sz w:val="22"/>
                <w:szCs w:val="22"/>
                <w:lang w:eastAsia="en-US" w:bidi="ar-SA"/>
              </w:rPr>
              <w:t>103 039,31</w:t>
            </w:r>
            <w:r>
              <w:rPr>
                <w:rFonts w:ascii="Calibri" w:eastAsia="Calibri" w:hAnsi="Calibri" w:cs="0"/>
                <w:kern w:val="0"/>
                <w:sz w:val="22"/>
                <w:szCs w:val="22"/>
                <w:lang w:eastAsia="en-US" w:bidi="ar-SA"/>
              </w:rPr>
              <w:t xml:space="preserve"> €</w:t>
            </w:r>
          </w:p>
        </w:tc>
      </w:tr>
      <w:tr w:rsidR="00EA70E9" w14:paraId="7CF03C5A" w14:textId="77777777" w:rsidTr="00903E10">
        <w:tc>
          <w:tcPr>
            <w:tcW w:w="48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116612" w14:textId="2450B375" w:rsidR="00EA70E9" w:rsidRDefault="00EA70E9">
            <w:pPr>
              <w:pStyle w:val="Standard"/>
              <w:widowControl w:val="0"/>
              <w:rPr>
                <w:rFonts w:ascii="Calibri" w:eastAsia="Calibri" w:hAnsi="Calibri" w:cs="0"/>
                <w:kern w:val="0"/>
                <w:sz w:val="22"/>
                <w:szCs w:val="22"/>
                <w:lang w:eastAsia="en-US" w:bidi="ar-SA"/>
              </w:rPr>
            </w:pPr>
            <w:r>
              <w:rPr>
                <w:rFonts w:ascii="Calibri" w:eastAsia="Calibri" w:hAnsi="Calibri" w:cs="0"/>
                <w:kern w:val="0"/>
                <w:sz w:val="22"/>
                <w:szCs w:val="22"/>
                <w:lang w:eastAsia="en-US" w:bidi="ar-SA"/>
              </w:rPr>
              <w:t xml:space="preserve">Travaux d’investissement                         </w:t>
            </w:r>
            <w:r w:rsidR="00903E10">
              <w:rPr>
                <w:rFonts w:ascii="Calibri" w:eastAsia="Calibri" w:hAnsi="Calibri" w:cs="0"/>
                <w:kern w:val="0"/>
                <w:sz w:val="22"/>
                <w:szCs w:val="22"/>
                <w:lang w:eastAsia="en-US" w:bidi="ar-SA"/>
              </w:rPr>
              <w:t>91 944,42</w:t>
            </w:r>
            <w:r>
              <w:rPr>
                <w:rFonts w:ascii="Calibri" w:eastAsia="Calibri" w:hAnsi="Calibri" w:cs="0"/>
                <w:kern w:val="0"/>
                <w:sz w:val="22"/>
                <w:szCs w:val="22"/>
                <w:lang w:eastAsia="en-US" w:bidi="ar-SA"/>
              </w:rPr>
              <w:t xml:space="preserve"> €</w:t>
            </w:r>
          </w:p>
        </w:tc>
        <w:tc>
          <w:tcPr>
            <w:tcW w:w="4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85A3F9" w14:textId="686B782D" w:rsidR="00EA70E9" w:rsidRDefault="00903E10">
            <w:pPr>
              <w:pStyle w:val="Standard"/>
              <w:widowControl w:val="0"/>
              <w:rPr>
                <w:rFonts w:ascii="Calibri" w:eastAsia="Calibri" w:hAnsi="Calibri" w:cs="0"/>
                <w:kern w:val="0"/>
                <w:sz w:val="22"/>
                <w:szCs w:val="22"/>
                <w:lang w:eastAsia="en-US" w:bidi="ar-SA"/>
              </w:rPr>
            </w:pPr>
            <w:r>
              <w:rPr>
                <w:rFonts w:ascii="Calibri" w:eastAsia="Calibri" w:hAnsi="Calibri" w:cs="0"/>
                <w:kern w:val="0"/>
                <w:sz w:val="22"/>
                <w:szCs w:val="22"/>
                <w:lang w:eastAsia="en-US" w:bidi="ar-SA"/>
              </w:rPr>
              <w:t>FCTVA                                                            87 362,21€</w:t>
            </w:r>
          </w:p>
        </w:tc>
      </w:tr>
      <w:tr w:rsidR="00EA70E9" w14:paraId="08A31563" w14:textId="77777777" w:rsidTr="00903E10">
        <w:tc>
          <w:tcPr>
            <w:tcW w:w="482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4A37EF0E" w14:textId="0754E54A" w:rsidR="00EA70E9" w:rsidRDefault="00EA70E9">
            <w:pPr>
              <w:pStyle w:val="Standard"/>
              <w:widowControl w:val="0"/>
              <w:rPr>
                <w:rFonts w:ascii="Calibri" w:eastAsia="Calibri" w:hAnsi="Calibri" w:cs="0"/>
                <w:b/>
                <w:kern w:val="0"/>
                <w:sz w:val="22"/>
                <w:szCs w:val="22"/>
                <w:lang w:eastAsia="en-US" w:bidi="ar-SA"/>
              </w:rPr>
            </w:pPr>
            <w:r>
              <w:rPr>
                <w:rFonts w:ascii="Calibri" w:eastAsia="Calibri" w:hAnsi="Calibri" w:cs="0"/>
                <w:b/>
                <w:kern w:val="0"/>
                <w:sz w:val="22"/>
                <w:szCs w:val="22"/>
                <w:lang w:eastAsia="en-US" w:bidi="ar-SA"/>
              </w:rPr>
              <w:t xml:space="preserve">TOTAL                                                         </w:t>
            </w:r>
            <w:r w:rsidR="00903E10">
              <w:rPr>
                <w:rFonts w:ascii="Calibri" w:eastAsia="Calibri" w:hAnsi="Calibri" w:cs="0"/>
                <w:b/>
                <w:kern w:val="0"/>
                <w:sz w:val="22"/>
                <w:szCs w:val="22"/>
                <w:lang w:eastAsia="en-US" w:bidi="ar-SA"/>
              </w:rPr>
              <w:t>117 801,40</w:t>
            </w:r>
            <w:r>
              <w:rPr>
                <w:rFonts w:ascii="Calibri" w:eastAsia="Calibri" w:hAnsi="Calibri" w:cs="0"/>
                <w:b/>
                <w:kern w:val="0"/>
                <w:sz w:val="22"/>
                <w:szCs w:val="22"/>
                <w:lang w:eastAsia="en-US" w:bidi="ar-SA"/>
              </w:rPr>
              <w:t xml:space="preserve"> €</w:t>
            </w:r>
          </w:p>
        </w:tc>
        <w:tc>
          <w:tcPr>
            <w:tcW w:w="482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5EDABD75" w14:textId="4006EE76" w:rsidR="00EA70E9" w:rsidRDefault="00EA70E9">
            <w:pPr>
              <w:pStyle w:val="Standard"/>
              <w:widowControl w:val="0"/>
              <w:rPr>
                <w:rFonts w:ascii="Calibri" w:eastAsia="Calibri" w:hAnsi="Calibri" w:cs="0"/>
                <w:b/>
                <w:kern w:val="0"/>
                <w:sz w:val="22"/>
                <w:szCs w:val="22"/>
                <w:lang w:eastAsia="en-US" w:bidi="ar-SA"/>
              </w:rPr>
            </w:pPr>
            <w:r>
              <w:rPr>
                <w:rFonts w:ascii="Calibri" w:eastAsia="Calibri" w:hAnsi="Calibri" w:cs="0"/>
                <w:b/>
                <w:kern w:val="0"/>
                <w:sz w:val="22"/>
                <w:szCs w:val="22"/>
                <w:lang w:eastAsia="en-US" w:bidi="ar-SA"/>
              </w:rPr>
              <w:t xml:space="preserve">TOTAL                                                       </w:t>
            </w:r>
            <w:r w:rsidR="00EA6CB5">
              <w:rPr>
                <w:rFonts w:ascii="Calibri" w:eastAsia="Calibri" w:hAnsi="Calibri" w:cs="0"/>
                <w:b/>
                <w:kern w:val="0"/>
                <w:sz w:val="22"/>
                <w:szCs w:val="22"/>
                <w:lang w:eastAsia="en-US" w:bidi="ar-SA"/>
              </w:rPr>
              <w:t xml:space="preserve">  190 401,52</w:t>
            </w:r>
            <w:r>
              <w:rPr>
                <w:rFonts w:ascii="Calibri" w:eastAsia="Calibri" w:hAnsi="Calibri" w:cs="0"/>
                <w:b/>
                <w:kern w:val="0"/>
                <w:sz w:val="22"/>
                <w:szCs w:val="22"/>
                <w:lang w:eastAsia="en-US" w:bidi="ar-SA"/>
              </w:rPr>
              <w:t xml:space="preserve"> €</w:t>
            </w:r>
          </w:p>
        </w:tc>
      </w:tr>
    </w:tbl>
    <w:p w14:paraId="73782F4F" w14:textId="77777777" w:rsidR="00EA70E9" w:rsidRDefault="00EA70E9" w:rsidP="00EA70E9">
      <w:pPr>
        <w:pStyle w:val="Paragraphedeliste"/>
        <w:widowControl w:val="0"/>
        <w:tabs>
          <w:tab w:val="left" w:pos="76"/>
        </w:tabs>
        <w:spacing w:line="276" w:lineRule="auto"/>
        <w:ind w:left="218"/>
        <w:jc w:val="both"/>
      </w:pPr>
    </w:p>
    <w:p w14:paraId="64BBDA51" w14:textId="77777777" w:rsidR="00EA70E9" w:rsidRDefault="00EA70E9" w:rsidP="00EA70E9">
      <w:pPr>
        <w:pStyle w:val="Paragraphedeliste"/>
        <w:tabs>
          <w:tab w:val="left" w:pos="76"/>
        </w:tabs>
        <w:spacing w:line="276" w:lineRule="auto"/>
        <w:ind w:left="218"/>
        <w:jc w:val="both"/>
      </w:pPr>
      <w:r>
        <w:rPr>
          <w:u w:val="single"/>
        </w:rPr>
        <w:t>Résultats de l’exercice et affectation</w:t>
      </w:r>
      <w:r>
        <w:t> :</w:t>
      </w:r>
    </w:p>
    <w:p w14:paraId="15B32F91" w14:textId="2B38776E" w:rsidR="00EA70E9" w:rsidRDefault="00EA70E9" w:rsidP="00EA70E9">
      <w:pPr>
        <w:pStyle w:val="Paragraphedeliste"/>
        <w:tabs>
          <w:tab w:val="left" w:pos="76"/>
        </w:tabs>
        <w:spacing w:line="276" w:lineRule="auto"/>
        <w:ind w:left="218"/>
        <w:jc w:val="both"/>
      </w:pPr>
      <w:r>
        <w:t xml:space="preserve">- Excédent de fonctionnement : + </w:t>
      </w:r>
      <w:r w:rsidR="00EA4B97">
        <w:t>141 038,27</w:t>
      </w:r>
      <w:r>
        <w:t xml:space="preserve"> €</w:t>
      </w:r>
      <w:r>
        <w:rPr>
          <w:b/>
        </w:rPr>
        <w:t xml:space="preserve"> </w:t>
      </w:r>
      <w:r>
        <w:t xml:space="preserve">- </w:t>
      </w:r>
      <w:r w:rsidR="00EA4B97">
        <w:t>Résultats antérieurs</w:t>
      </w:r>
      <w:r>
        <w:t> </w:t>
      </w:r>
      <w:r>
        <w:rPr>
          <w:b/>
        </w:rPr>
        <w:t xml:space="preserve">: </w:t>
      </w:r>
      <w:r>
        <w:t xml:space="preserve">+ </w:t>
      </w:r>
      <w:r w:rsidR="00EA4B97">
        <w:t>290 545,79</w:t>
      </w:r>
      <w:r>
        <w:t xml:space="preserve"> €</w:t>
      </w:r>
    </w:p>
    <w:p w14:paraId="163494DC" w14:textId="0A97CE7C" w:rsidR="00EA70E9" w:rsidRDefault="00EA70E9" w:rsidP="00EA70E9">
      <w:pPr>
        <w:pStyle w:val="Paragraphedeliste"/>
        <w:tabs>
          <w:tab w:val="left" w:pos="-142"/>
        </w:tabs>
        <w:spacing w:line="276" w:lineRule="auto"/>
        <w:ind w:left="0"/>
        <w:jc w:val="both"/>
      </w:pPr>
      <w:r>
        <w:t xml:space="preserve">    - Besoin de financement en investissement (avec déficits antérieurs) :   </w:t>
      </w:r>
      <w:r w:rsidR="00EA4B97">
        <w:t>- 52 060,54</w:t>
      </w:r>
      <w:r>
        <w:t xml:space="preserve"> €</w:t>
      </w:r>
    </w:p>
    <w:p w14:paraId="7A3F84D3" w14:textId="5A21F22D" w:rsidR="00EA70E9" w:rsidRDefault="00EA70E9" w:rsidP="00EA70E9">
      <w:pPr>
        <w:pStyle w:val="Paragraphedeliste"/>
        <w:tabs>
          <w:tab w:val="left" w:pos="76"/>
        </w:tabs>
        <w:spacing w:line="276" w:lineRule="auto"/>
        <w:ind w:left="218"/>
        <w:jc w:val="both"/>
      </w:pPr>
      <w:r>
        <w:t xml:space="preserve">- Report en </w:t>
      </w:r>
      <w:r>
        <w:rPr>
          <w:b/>
          <w:bCs/>
        </w:rPr>
        <w:t>fonctionnement</w:t>
      </w:r>
      <w:r>
        <w:t xml:space="preserve"> pour le budget </w:t>
      </w:r>
      <w:r>
        <w:rPr>
          <w:b/>
        </w:rPr>
        <w:t>202</w:t>
      </w:r>
      <w:r w:rsidR="00EA4B97">
        <w:rPr>
          <w:b/>
        </w:rPr>
        <w:t>5</w:t>
      </w:r>
      <w:r>
        <w:rPr>
          <w:b/>
        </w:rPr>
        <w:t xml:space="preserve"> </w:t>
      </w:r>
      <w:r>
        <w:t>(</w:t>
      </w:r>
      <w:proofErr w:type="gramStart"/>
      <w:r>
        <w:t>réserves)</w:t>
      </w:r>
      <w:r>
        <w:rPr>
          <w:b/>
          <w:bCs/>
        </w:rPr>
        <w:t xml:space="preserve"> </w:t>
      </w:r>
      <w:r w:rsidR="00EA4B97">
        <w:rPr>
          <w:b/>
          <w:bCs/>
        </w:rPr>
        <w:t xml:space="preserve">  </w:t>
      </w:r>
      <w:proofErr w:type="gramEnd"/>
      <w:r w:rsidR="00EA4B97">
        <w:rPr>
          <w:b/>
          <w:bCs/>
        </w:rPr>
        <w:t xml:space="preserve">              </w:t>
      </w:r>
      <w:r>
        <w:t>+</w:t>
      </w:r>
      <w:r w:rsidR="00EA4B97">
        <w:rPr>
          <w:b/>
          <w:bCs/>
        </w:rPr>
        <w:t>379 523,52</w:t>
      </w:r>
      <w:r>
        <w:rPr>
          <w:b/>
          <w:bCs/>
        </w:rPr>
        <w:t xml:space="preserve"> €</w:t>
      </w:r>
    </w:p>
    <w:p w14:paraId="0B63C674" w14:textId="783E5DE8" w:rsidR="00EA70E9" w:rsidRDefault="00EA70E9" w:rsidP="00EA70E9">
      <w:pPr>
        <w:pStyle w:val="Paragraphedeliste"/>
        <w:tabs>
          <w:tab w:val="left" w:pos="76"/>
        </w:tabs>
        <w:spacing w:line="276" w:lineRule="auto"/>
        <w:ind w:left="218"/>
        <w:jc w:val="both"/>
      </w:pPr>
      <w:r>
        <w:t>- Le compte administratif 202</w:t>
      </w:r>
      <w:r w:rsidR="00A0240C">
        <w:t>4</w:t>
      </w:r>
      <w:r>
        <w:t xml:space="preserve"> ainsi que le compte de gestion du trésorier sont adoptés à    </w:t>
      </w:r>
      <w:r>
        <w:rPr>
          <w:b/>
          <w:bCs/>
        </w:rPr>
        <w:t>l’unanimité.</w:t>
      </w:r>
      <w:r>
        <w:rPr>
          <w:b/>
        </w:rPr>
        <w:t xml:space="preserve"> </w:t>
      </w:r>
      <w:r>
        <w:t>(Le vote du compte administratif s’effectue hors présence du Maire)</w:t>
      </w:r>
    </w:p>
    <w:p w14:paraId="0DC10771" w14:textId="3DF90741" w:rsidR="00EA70E9" w:rsidRDefault="00EA70E9" w:rsidP="00EA70E9">
      <w:pPr>
        <w:pStyle w:val="Paragraphedeliste"/>
        <w:tabs>
          <w:tab w:val="left" w:pos="76"/>
        </w:tabs>
        <w:spacing w:line="276" w:lineRule="auto"/>
        <w:ind w:left="218"/>
        <w:jc w:val="both"/>
        <w:rPr>
          <w:b/>
          <w:bCs/>
        </w:rPr>
      </w:pPr>
      <w:r>
        <w:t>- L’affectation du résultat de fonctionnement de l’exercice 202</w:t>
      </w:r>
      <w:r w:rsidR="00EA4B97">
        <w:t>4</w:t>
      </w:r>
      <w:r>
        <w:t xml:space="preserve"> est adoptée à </w:t>
      </w:r>
      <w:r>
        <w:rPr>
          <w:b/>
          <w:bCs/>
        </w:rPr>
        <w:t>l’unanimité.</w:t>
      </w:r>
    </w:p>
    <w:p w14:paraId="7BDBE2E4" w14:textId="77777777" w:rsidR="00EC1379" w:rsidRDefault="00EC1379" w:rsidP="00EA70E9">
      <w:pPr>
        <w:pStyle w:val="Paragraphedeliste"/>
        <w:tabs>
          <w:tab w:val="left" w:pos="76"/>
        </w:tabs>
        <w:spacing w:line="276" w:lineRule="auto"/>
        <w:ind w:left="218"/>
        <w:jc w:val="both"/>
        <w:rPr>
          <w:b/>
          <w:bCs/>
        </w:rPr>
      </w:pPr>
    </w:p>
    <w:p w14:paraId="71CA9BD5" w14:textId="498C522E" w:rsidR="005E65F6" w:rsidRPr="005E65F6" w:rsidRDefault="005E65F6" w:rsidP="00EA70E9">
      <w:pPr>
        <w:pStyle w:val="Paragraphedeliste"/>
        <w:tabs>
          <w:tab w:val="left" w:pos="76"/>
        </w:tabs>
        <w:spacing w:line="276" w:lineRule="auto"/>
        <w:ind w:left="218"/>
        <w:jc w:val="both"/>
      </w:pPr>
      <w:r w:rsidRPr="005E65F6">
        <w:t xml:space="preserve">Le Maire </w:t>
      </w:r>
      <w:r>
        <w:t xml:space="preserve">attire l’attention </w:t>
      </w:r>
      <w:r w:rsidRPr="005E65F6">
        <w:rPr>
          <w:b/>
          <w:bCs/>
        </w:rPr>
        <w:t>sur l’importance des charges à caractère général</w:t>
      </w:r>
      <w:r>
        <w:t xml:space="preserve"> dans les finances communales. Les prix de l’énergie, </w:t>
      </w:r>
      <w:proofErr w:type="spellStart"/>
      <w:r>
        <w:t>des</w:t>
      </w:r>
      <w:proofErr w:type="spellEnd"/>
      <w:r>
        <w:t xml:space="preserve"> combustibles, </w:t>
      </w:r>
      <w:proofErr w:type="spellStart"/>
      <w:r>
        <w:t>des</w:t>
      </w:r>
      <w:proofErr w:type="spellEnd"/>
      <w:r>
        <w:t xml:space="preserve"> fournitures diverses, </w:t>
      </w:r>
      <w:proofErr w:type="spellStart"/>
      <w:r>
        <w:t>des</w:t>
      </w:r>
      <w:proofErr w:type="spellEnd"/>
      <w:r>
        <w:t xml:space="preserve"> travaux d’entretien et de réparation des bâtiments et de la voirie sont en constante augmentation. Les marges de manœuvre sont restreintes mais des économies seront recherchées lors de l’établissement du budget 2025.</w:t>
      </w:r>
    </w:p>
    <w:p w14:paraId="72857ECE" w14:textId="77777777" w:rsidR="00E70E63" w:rsidRDefault="00E70E63" w:rsidP="003E50BC">
      <w:pPr>
        <w:pStyle w:val="Paragraphedeliste"/>
        <w:tabs>
          <w:tab w:val="left" w:pos="76"/>
        </w:tabs>
        <w:spacing w:line="276" w:lineRule="auto"/>
        <w:ind w:left="113"/>
        <w:jc w:val="both"/>
        <w:rPr>
          <w:b/>
          <w:bCs/>
        </w:rPr>
      </w:pPr>
    </w:p>
    <w:p w14:paraId="0FBFD984" w14:textId="1A1114D7" w:rsidR="00E70E63" w:rsidRDefault="00E70E63" w:rsidP="00E70E63">
      <w:pPr>
        <w:pStyle w:val="Paragraphedeliste"/>
        <w:tabs>
          <w:tab w:val="left" w:pos="142"/>
        </w:tabs>
        <w:spacing w:line="276" w:lineRule="auto"/>
        <w:ind w:left="284"/>
        <w:jc w:val="both"/>
      </w:pPr>
      <w:r>
        <w:rPr>
          <w:u w:val="single"/>
        </w:rPr>
        <w:t xml:space="preserve">Compte administratif de </w:t>
      </w:r>
      <w:r>
        <w:rPr>
          <w:b/>
          <w:u w:val="single"/>
        </w:rPr>
        <w:t>l’assainissement</w:t>
      </w:r>
      <w:r>
        <w:rPr>
          <w:b/>
        </w:rPr>
        <w:t> :</w:t>
      </w:r>
    </w:p>
    <w:p w14:paraId="4E086868" w14:textId="77777777" w:rsidR="00E70E63" w:rsidRDefault="00E70E63" w:rsidP="00E70E63">
      <w:pPr>
        <w:pStyle w:val="Paragraphedeliste"/>
        <w:tabs>
          <w:tab w:val="left" w:pos="142"/>
        </w:tabs>
        <w:spacing w:line="276" w:lineRule="auto"/>
        <w:ind w:left="284"/>
        <w:jc w:val="both"/>
      </w:pPr>
      <w:r>
        <w:rPr>
          <w:i/>
        </w:rPr>
        <w:t>Section d’exploitation</w:t>
      </w:r>
      <w:r>
        <w:t> :</w:t>
      </w:r>
    </w:p>
    <w:p w14:paraId="339A3440" w14:textId="746C9447" w:rsidR="00E70E63" w:rsidRDefault="00E70E63" w:rsidP="00E70E63">
      <w:pPr>
        <w:pStyle w:val="Paragraphedeliste"/>
        <w:tabs>
          <w:tab w:val="left" w:pos="142"/>
        </w:tabs>
        <w:spacing w:line="276" w:lineRule="auto"/>
        <w:ind w:left="284"/>
        <w:jc w:val="both"/>
      </w:pPr>
      <w:r>
        <w:lastRenderedPageBreak/>
        <w:t xml:space="preserve">Dépenses : </w:t>
      </w:r>
      <w:r w:rsidR="003E50BC">
        <w:t>4 198,56</w:t>
      </w:r>
      <w:r>
        <w:t xml:space="preserve"> €   Recettes : 1</w:t>
      </w:r>
      <w:r w:rsidR="003E50BC">
        <w:t>5 241,60</w:t>
      </w:r>
      <w:r>
        <w:t xml:space="preserve"> €   Excédent : + </w:t>
      </w:r>
      <w:r w:rsidR="003E50BC">
        <w:t>11 043,04</w:t>
      </w:r>
      <w:r>
        <w:t xml:space="preserve"> €</w:t>
      </w:r>
    </w:p>
    <w:p w14:paraId="3DD34641" w14:textId="77777777" w:rsidR="00E70E63" w:rsidRDefault="00E70E63" w:rsidP="00E70E63">
      <w:pPr>
        <w:pStyle w:val="Paragraphedeliste"/>
        <w:tabs>
          <w:tab w:val="left" w:pos="142"/>
        </w:tabs>
        <w:spacing w:line="276" w:lineRule="auto"/>
        <w:ind w:left="284"/>
        <w:jc w:val="both"/>
      </w:pPr>
      <w:r>
        <w:rPr>
          <w:i/>
        </w:rPr>
        <w:t>Section d’investissement</w:t>
      </w:r>
      <w:r>
        <w:t> :</w:t>
      </w:r>
    </w:p>
    <w:p w14:paraId="6D3AFEA2" w14:textId="7DE2C483" w:rsidR="00E70E63" w:rsidRDefault="00E70E63" w:rsidP="00E70E63">
      <w:pPr>
        <w:pStyle w:val="Paragraphedeliste"/>
        <w:tabs>
          <w:tab w:val="left" w:pos="142"/>
        </w:tabs>
        <w:spacing w:line="276" w:lineRule="auto"/>
        <w:ind w:left="284"/>
        <w:jc w:val="both"/>
      </w:pPr>
      <w:r>
        <w:t>Dépenses :</w:t>
      </w:r>
      <w:r w:rsidR="003E50BC">
        <w:t xml:space="preserve"> 4 674</w:t>
      </w:r>
      <w:r>
        <w:t xml:space="preserve"> €   Recettes : 4</w:t>
      </w:r>
      <w:r w:rsidR="003E50BC">
        <w:t> 015,61</w:t>
      </w:r>
      <w:r>
        <w:t xml:space="preserve">€    </w:t>
      </w:r>
    </w:p>
    <w:p w14:paraId="0B477096" w14:textId="1C294319" w:rsidR="00E70E63" w:rsidRDefault="00E70E63" w:rsidP="00E70E63">
      <w:pPr>
        <w:pStyle w:val="Paragraphedeliste"/>
        <w:tabs>
          <w:tab w:val="left" w:pos="142"/>
        </w:tabs>
        <w:spacing w:line="276" w:lineRule="auto"/>
        <w:ind w:left="284" w:hanging="142"/>
      </w:pPr>
      <w:r>
        <w:t xml:space="preserve">   </w:t>
      </w:r>
      <w:r>
        <w:rPr>
          <w:b/>
        </w:rPr>
        <w:t>Affectation du résultat de fonctionnement</w:t>
      </w:r>
      <w:r>
        <w:t> : report en exploitation au BP 202</w:t>
      </w:r>
      <w:r w:rsidR="003E50BC">
        <w:t>5</w:t>
      </w:r>
      <w:r>
        <w:rPr>
          <w:b/>
        </w:rPr>
        <w:t xml:space="preserve"> </w:t>
      </w:r>
      <w:r w:rsidR="003E50BC">
        <w:rPr>
          <w:b/>
        </w:rPr>
        <w:t>43 879,38€</w:t>
      </w:r>
    </w:p>
    <w:p w14:paraId="4EB6D4FA" w14:textId="77777777" w:rsidR="00E70E63" w:rsidRDefault="00E70E63" w:rsidP="00E70E63">
      <w:pPr>
        <w:pStyle w:val="Paragraphedeliste"/>
        <w:tabs>
          <w:tab w:val="left" w:pos="142"/>
        </w:tabs>
        <w:spacing w:line="276" w:lineRule="auto"/>
        <w:ind w:left="284" w:hanging="142"/>
        <w:rPr>
          <w:b/>
          <w:bCs/>
        </w:rPr>
      </w:pPr>
      <w:r>
        <w:rPr>
          <w:b/>
        </w:rPr>
        <w:t xml:space="preserve">   </w:t>
      </w:r>
      <w:r>
        <w:t xml:space="preserve">Le conseil municipal adopte ces comptes ainsi que l’affectation du résultat à </w:t>
      </w:r>
      <w:r>
        <w:rPr>
          <w:b/>
          <w:bCs/>
        </w:rPr>
        <w:t>l’unanimité.</w:t>
      </w:r>
    </w:p>
    <w:p w14:paraId="28CDDB0A" w14:textId="3B024FAA" w:rsidR="00000158" w:rsidRPr="00000158" w:rsidRDefault="00000158" w:rsidP="00E70E63">
      <w:pPr>
        <w:pStyle w:val="Paragraphedeliste"/>
        <w:tabs>
          <w:tab w:val="left" w:pos="142"/>
        </w:tabs>
        <w:spacing w:line="276" w:lineRule="auto"/>
        <w:ind w:left="284" w:hanging="142"/>
      </w:pPr>
      <w:r w:rsidRPr="00000158">
        <w:t>Concernant la construction de la future station d’épuration</w:t>
      </w:r>
      <w:r>
        <w:t xml:space="preserve">, </w:t>
      </w:r>
      <w:r w:rsidRPr="00EC1379">
        <w:rPr>
          <w:b/>
          <w:bCs/>
        </w:rPr>
        <w:t xml:space="preserve">une avancée sur le problème de la compensation de la zone humide </w:t>
      </w:r>
      <w:r>
        <w:t>est évoquée. Un terrain situé sur la commune de Dampierre</w:t>
      </w:r>
      <w:r w:rsidR="00EC1379">
        <w:t xml:space="preserve"> les Conflans</w:t>
      </w:r>
      <w:r>
        <w:t xml:space="preserve"> </w:t>
      </w:r>
      <w:r w:rsidR="00EC1379">
        <w:t>pourrait constituer la solution et débloquer le dossier à la Direction Départementale des Territoires.</w:t>
      </w:r>
      <w:r>
        <w:t xml:space="preserve"> </w:t>
      </w:r>
    </w:p>
    <w:p w14:paraId="57155449" w14:textId="77777777" w:rsidR="00E70E63" w:rsidRDefault="00E70E63" w:rsidP="00E70E63">
      <w:pPr>
        <w:pStyle w:val="Paragraphedeliste"/>
        <w:tabs>
          <w:tab w:val="left" w:pos="142"/>
        </w:tabs>
        <w:spacing w:line="276" w:lineRule="auto"/>
        <w:ind w:left="284" w:hanging="142"/>
      </w:pPr>
    </w:p>
    <w:p w14:paraId="684F49B6" w14:textId="31BFE538" w:rsidR="00E70E63" w:rsidRDefault="00E70E63" w:rsidP="00BA4761">
      <w:pPr>
        <w:pStyle w:val="Paragraphedeliste"/>
        <w:tabs>
          <w:tab w:val="left" w:pos="4092"/>
        </w:tabs>
        <w:spacing w:line="276" w:lineRule="auto"/>
        <w:ind w:left="218"/>
        <w:jc w:val="both"/>
      </w:pPr>
      <w:proofErr w:type="gramStart"/>
      <w:r w:rsidRPr="00975ADA">
        <w:rPr>
          <w:b/>
        </w:rPr>
        <w:t xml:space="preserve">2 </w:t>
      </w:r>
      <w:r>
        <w:rPr>
          <w:b/>
          <w:u w:val="single"/>
        </w:rPr>
        <w:t>)</w:t>
      </w:r>
      <w:proofErr w:type="gramEnd"/>
      <w:r>
        <w:rPr>
          <w:b/>
        </w:rPr>
        <w:t xml:space="preserve"> </w:t>
      </w:r>
      <w:r>
        <w:rPr>
          <w:b/>
          <w:u w:val="single"/>
        </w:rPr>
        <w:t>Nouvelle dépense d’investissement </w:t>
      </w:r>
      <w:r>
        <w:rPr>
          <w:b/>
        </w:rPr>
        <w:t>: </w:t>
      </w:r>
    </w:p>
    <w:p w14:paraId="44CBB91D" w14:textId="27246981" w:rsidR="00E70E63" w:rsidRDefault="00E70E63" w:rsidP="00E70E63">
      <w:pPr>
        <w:pStyle w:val="Standard"/>
        <w:tabs>
          <w:tab w:val="left" w:pos="0"/>
        </w:tabs>
        <w:spacing w:line="276" w:lineRule="auto"/>
        <w:ind w:left="142"/>
        <w:jc w:val="both"/>
      </w:pPr>
      <w:r>
        <w:t xml:space="preserve">Le conseil délibère favorablement pour le </w:t>
      </w:r>
      <w:r w:rsidR="00975ADA">
        <w:t>paie</w:t>
      </w:r>
      <w:r>
        <w:t>ment d</w:t>
      </w:r>
      <w:r w:rsidR="003E50BC">
        <w:t xml:space="preserve">’une facture d’un montant de </w:t>
      </w:r>
      <w:r w:rsidR="003E50BC" w:rsidRPr="00975ADA">
        <w:rPr>
          <w:b/>
          <w:bCs/>
        </w:rPr>
        <w:t>2 248 €</w:t>
      </w:r>
      <w:r w:rsidR="003E50BC">
        <w:t xml:space="preserve"> concernant </w:t>
      </w:r>
      <w:r w:rsidR="002310FB">
        <w:t>des travaux électriques à la salle (remplacement spots, néon scène et interrupteurs)</w:t>
      </w:r>
    </w:p>
    <w:p w14:paraId="568959E3" w14:textId="77777777" w:rsidR="00E70E63" w:rsidRDefault="00E70E63" w:rsidP="00E70E63">
      <w:pPr>
        <w:pStyle w:val="Standard"/>
        <w:tabs>
          <w:tab w:val="left" w:pos="0"/>
        </w:tabs>
        <w:spacing w:line="276" w:lineRule="auto"/>
        <w:ind w:left="142"/>
        <w:jc w:val="both"/>
      </w:pPr>
    </w:p>
    <w:p w14:paraId="6E4A36D3" w14:textId="0AEF0C0B" w:rsidR="00E70E63" w:rsidRDefault="00E70E63" w:rsidP="00BA4761">
      <w:pPr>
        <w:pStyle w:val="Paragraphedeliste"/>
        <w:tabs>
          <w:tab w:val="left" w:pos="4092"/>
        </w:tabs>
        <w:spacing w:line="276" w:lineRule="auto"/>
        <w:ind w:left="218"/>
        <w:jc w:val="both"/>
      </w:pPr>
      <w:r w:rsidRPr="00975ADA">
        <w:rPr>
          <w:b/>
        </w:rPr>
        <w:t>3)</w:t>
      </w:r>
      <w:r>
        <w:rPr>
          <w:b/>
        </w:rPr>
        <w:t xml:space="preserve"> </w:t>
      </w:r>
      <w:r>
        <w:rPr>
          <w:b/>
          <w:u w:val="single"/>
        </w:rPr>
        <w:t xml:space="preserve">Redevance </w:t>
      </w:r>
      <w:proofErr w:type="gramStart"/>
      <w:r>
        <w:rPr>
          <w:b/>
          <w:u w:val="single"/>
        </w:rPr>
        <w:t>assainissement</w:t>
      </w:r>
      <w:r>
        <w:rPr>
          <w:b/>
        </w:rPr>
        <w:t>:</w:t>
      </w:r>
      <w:proofErr w:type="gramEnd"/>
      <w:r>
        <w:rPr>
          <w:b/>
        </w:rPr>
        <w:t xml:space="preserve">  </w:t>
      </w:r>
    </w:p>
    <w:p w14:paraId="302622EE" w14:textId="1A03C197" w:rsidR="00E70E63" w:rsidRDefault="00E70E63" w:rsidP="00E70E63">
      <w:pPr>
        <w:tabs>
          <w:tab w:val="left" w:pos="2586"/>
        </w:tabs>
        <w:spacing w:line="276" w:lineRule="auto"/>
        <w:jc w:val="both"/>
      </w:pPr>
      <w:r>
        <w:t xml:space="preserve">La fixation des montants de cette redevance </w:t>
      </w:r>
      <w:r w:rsidR="002310FB">
        <w:t>est</w:t>
      </w:r>
      <w:r>
        <w:t xml:space="preserve"> liée aux futurs travaux d’assainissement</w:t>
      </w:r>
      <w:r w:rsidR="002310FB">
        <w:t>. Ceux-ci n’ayant pas encore débuté, l</w:t>
      </w:r>
      <w:r>
        <w:t xml:space="preserve">e conseil </w:t>
      </w:r>
      <w:r w:rsidR="002310FB">
        <w:t xml:space="preserve">décide </w:t>
      </w:r>
      <w:proofErr w:type="spellStart"/>
      <w:r w:rsidR="002310FB" w:rsidRPr="00975ADA">
        <w:rPr>
          <w:b/>
          <w:bCs/>
        </w:rPr>
        <w:t>la</w:t>
      </w:r>
      <w:proofErr w:type="spellEnd"/>
      <w:r w:rsidR="002310FB" w:rsidRPr="00975ADA">
        <w:rPr>
          <w:b/>
          <w:bCs/>
        </w:rPr>
        <w:t xml:space="preserve"> reconduction </w:t>
      </w:r>
      <w:proofErr w:type="spellStart"/>
      <w:r w:rsidR="002310FB" w:rsidRPr="00975ADA">
        <w:rPr>
          <w:b/>
          <w:bCs/>
        </w:rPr>
        <w:t>des</w:t>
      </w:r>
      <w:proofErr w:type="spellEnd"/>
      <w:r w:rsidR="002310FB" w:rsidRPr="00975ADA">
        <w:rPr>
          <w:b/>
          <w:bCs/>
        </w:rPr>
        <w:t xml:space="preserve"> montants de l’an dernier</w:t>
      </w:r>
      <w:r w:rsidR="002310FB">
        <w:t xml:space="preserve"> à savoir :</w:t>
      </w:r>
    </w:p>
    <w:p w14:paraId="4216DC0D" w14:textId="77777777" w:rsidR="00E70E63" w:rsidRDefault="00E70E63" w:rsidP="00E70E63">
      <w:pPr>
        <w:tabs>
          <w:tab w:val="left" w:pos="2586"/>
        </w:tabs>
        <w:spacing w:line="276" w:lineRule="auto"/>
        <w:jc w:val="both"/>
      </w:pPr>
      <w:r>
        <w:t>Part fixe (compteur) </w:t>
      </w:r>
      <w:r>
        <w:rPr>
          <w:b/>
          <w:bCs/>
        </w:rPr>
        <w:t>: 55 €</w:t>
      </w:r>
    </w:p>
    <w:p w14:paraId="0204C587" w14:textId="79A75984" w:rsidR="00E70E63" w:rsidRDefault="00E70E63" w:rsidP="00E70E63">
      <w:pPr>
        <w:tabs>
          <w:tab w:val="left" w:pos="2586"/>
        </w:tabs>
        <w:spacing w:line="276" w:lineRule="auto"/>
        <w:jc w:val="both"/>
      </w:pPr>
      <w:r>
        <w:t xml:space="preserve">Part variable (consommation) : </w:t>
      </w:r>
      <w:r>
        <w:rPr>
          <w:b/>
          <w:bCs/>
        </w:rPr>
        <w:t>1,35€ par m3</w:t>
      </w:r>
      <w:r>
        <w:t xml:space="preserve"> jusqu’à 200 m3</w:t>
      </w:r>
      <w:r w:rsidR="002310FB">
        <w:t xml:space="preserve"> d’eau consommée par semestre</w:t>
      </w:r>
      <w:r>
        <w:t xml:space="preserve"> et </w:t>
      </w:r>
      <w:r>
        <w:rPr>
          <w:b/>
          <w:bCs/>
        </w:rPr>
        <w:t>1,40 € par m3</w:t>
      </w:r>
      <w:r>
        <w:t xml:space="preserve"> au-delà de 200 m3</w:t>
      </w:r>
    </w:p>
    <w:p w14:paraId="1FB9E859" w14:textId="2479B4F2" w:rsidR="00975ADA" w:rsidRDefault="00975ADA" w:rsidP="00E70E63">
      <w:pPr>
        <w:tabs>
          <w:tab w:val="left" w:pos="2586"/>
        </w:tabs>
        <w:spacing w:line="276" w:lineRule="auto"/>
        <w:jc w:val="both"/>
      </w:pPr>
    </w:p>
    <w:p w14:paraId="0A6F1817" w14:textId="44720D2B" w:rsidR="00975ADA" w:rsidRDefault="00975ADA" w:rsidP="00E70E63">
      <w:pPr>
        <w:tabs>
          <w:tab w:val="left" w:pos="2586"/>
        </w:tabs>
        <w:spacing w:line="276" w:lineRule="auto"/>
        <w:jc w:val="both"/>
        <w:rPr>
          <w:b/>
          <w:bCs/>
          <w:u w:val="single"/>
        </w:rPr>
      </w:pPr>
      <w:r w:rsidRPr="00975ADA">
        <w:rPr>
          <w:b/>
          <w:bCs/>
        </w:rPr>
        <w:t>4)</w:t>
      </w:r>
      <w:r w:rsidRPr="00975ADA">
        <w:rPr>
          <w:b/>
          <w:bCs/>
          <w:u w:val="single"/>
        </w:rPr>
        <w:t xml:space="preserve"> Taxes locales :</w:t>
      </w:r>
    </w:p>
    <w:p w14:paraId="2E46EEE7" w14:textId="0A820353" w:rsidR="00975ADA" w:rsidRDefault="00975ADA" w:rsidP="00E70E63">
      <w:pPr>
        <w:tabs>
          <w:tab w:val="left" w:pos="2586"/>
        </w:tabs>
        <w:spacing w:line="276" w:lineRule="auto"/>
        <w:jc w:val="both"/>
      </w:pPr>
      <w:r w:rsidRPr="00975ADA">
        <w:t xml:space="preserve">Le conseil décide de </w:t>
      </w:r>
      <w:r w:rsidRPr="00975ADA">
        <w:rPr>
          <w:b/>
          <w:bCs/>
        </w:rPr>
        <w:t>maintenir le taux des taxes locales</w:t>
      </w:r>
      <w:r>
        <w:t xml:space="preserve"> comme suit :</w:t>
      </w:r>
    </w:p>
    <w:p w14:paraId="28E936F8" w14:textId="42E161A0" w:rsidR="00975ADA" w:rsidRDefault="00F727B8" w:rsidP="00F727B8">
      <w:pPr>
        <w:tabs>
          <w:tab w:val="left" w:pos="2586"/>
        </w:tabs>
        <w:spacing w:line="276" w:lineRule="auto"/>
        <w:jc w:val="both"/>
      </w:pPr>
      <w:r>
        <w:t xml:space="preserve"> F</w:t>
      </w:r>
      <w:r w:rsidR="00975ADA">
        <w:t xml:space="preserve">oncier bâti : </w:t>
      </w:r>
      <w:r w:rsidR="00975ADA" w:rsidRPr="00F727B8">
        <w:t>35,78</w:t>
      </w:r>
      <w:r w:rsidRPr="00F727B8">
        <w:t>%</w:t>
      </w:r>
      <w:r>
        <w:t xml:space="preserve"> </w:t>
      </w:r>
      <w:proofErr w:type="gramStart"/>
      <w:r>
        <w:t>-</w:t>
      </w:r>
      <w:r w:rsidR="00975ADA">
        <w:t xml:space="preserve">  Foncier</w:t>
      </w:r>
      <w:proofErr w:type="gramEnd"/>
      <w:r w:rsidR="00975ADA">
        <w:t xml:space="preserve"> non bâti : 26,77%</w:t>
      </w:r>
      <w:r>
        <w:t xml:space="preserve"> - Taxe d’habitation : 4,77% (</w:t>
      </w:r>
      <w:proofErr w:type="spellStart"/>
      <w:r>
        <w:t>rés.secondaires</w:t>
      </w:r>
      <w:proofErr w:type="spellEnd"/>
      <w:r>
        <w:t>)</w:t>
      </w:r>
    </w:p>
    <w:p w14:paraId="37C9C1A3" w14:textId="77777777" w:rsidR="00F727B8" w:rsidRDefault="00F727B8" w:rsidP="00F727B8">
      <w:pPr>
        <w:tabs>
          <w:tab w:val="left" w:pos="2586"/>
        </w:tabs>
        <w:spacing w:line="276" w:lineRule="auto"/>
        <w:jc w:val="both"/>
      </w:pPr>
    </w:p>
    <w:p w14:paraId="3D405ED5" w14:textId="7B356B3B" w:rsidR="00F727B8" w:rsidRPr="00F727B8" w:rsidRDefault="00F727B8" w:rsidP="00F727B8">
      <w:pPr>
        <w:tabs>
          <w:tab w:val="left" w:pos="2586"/>
        </w:tabs>
        <w:spacing w:line="276" w:lineRule="auto"/>
        <w:jc w:val="both"/>
        <w:rPr>
          <w:b/>
          <w:bCs/>
        </w:rPr>
      </w:pPr>
      <w:r w:rsidRPr="00F727B8">
        <w:rPr>
          <w:b/>
          <w:bCs/>
        </w:rPr>
        <w:t xml:space="preserve">5) </w:t>
      </w:r>
      <w:r w:rsidRPr="00F727B8">
        <w:rPr>
          <w:b/>
          <w:bCs/>
          <w:u w:val="single"/>
        </w:rPr>
        <w:t>Questions diverses</w:t>
      </w:r>
      <w:r w:rsidRPr="00F727B8">
        <w:rPr>
          <w:b/>
          <w:bCs/>
        </w:rPr>
        <w:t> :</w:t>
      </w:r>
    </w:p>
    <w:p w14:paraId="0C1A879D" w14:textId="1226F169" w:rsidR="00E70E63" w:rsidRDefault="00F727B8" w:rsidP="00E70E63">
      <w:pPr>
        <w:tabs>
          <w:tab w:val="left" w:pos="2586"/>
        </w:tabs>
        <w:spacing w:line="276" w:lineRule="auto"/>
        <w:jc w:val="both"/>
        <w:rPr>
          <w:b/>
          <w:bCs/>
        </w:rPr>
      </w:pPr>
      <w:r>
        <w:t xml:space="preserve">- Compte tenu de l’augmentation du prix de la révision des chaudières, la provision de charges sur les loyers communaux destinée au financement de cette opération passera de 10€ à </w:t>
      </w:r>
      <w:r w:rsidRPr="00F727B8">
        <w:rPr>
          <w:b/>
          <w:bCs/>
        </w:rPr>
        <w:t>11€ mensuels</w:t>
      </w:r>
      <w:r>
        <w:rPr>
          <w:b/>
          <w:bCs/>
        </w:rPr>
        <w:t>.</w:t>
      </w:r>
    </w:p>
    <w:p w14:paraId="7D6A664F" w14:textId="6B735646" w:rsidR="00F727B8" w:rsidRDefault="00F727B8" w:rsidP="00E70E63">
      <w:pPr>
        <w:tabs>
          <w:tab w:val="left" w:pos="2586"/>
        </w:tabs>
        <w:spacing w:line="276" w:lineRule="auto"/>
        <w:jc w:val="both"/>
      </w:pPr>
      <w:r>
        <w:rPr>
          <w:b/>
          <w:bCs/>
        </w:rPr>
        <w:t xml:space="preserve">- </w:t>
      </w:r>
      <w:r w:rsidR="00323440" w:rsidRPr="00323440">
        <w:t>Une liste d’achats et travaux à prévoir au budget primitif 2025 est examinée</w:t>
      </w:r>
      <w:r w:rsidR="00323440">
        <w:t>. Celle-ci sera affinée pour le vote du budget en avril.</w:t>
      </w:r>
    </w:p>
    <w:p w14:paraId="1CA14F1A" w14:textId="5CA5E3AC" w:rsidR="00323440" w:rsidRDefault="00323440" w:rsidP="00E70E63">
      <w:pPr>
        <w:tabs>
          <w:tab w:val="left" w:pos="2586"/>
        </w:tabs>
        <w:spacing w:line="276" w:lineRule="auto"/>
        <w:jc w:val="both"/>
      </w:pPr>
      <w:r w:rsidRPr="00323440">
        <w:rPr>
          <w:b/>
          <w:bCs/>
        </w:rPr>
        <w:t>- Une subvention de 100 €</w:t>
      </w:r>
      <w:r>
        <w:t xml:space="preserve"> est accordée au Club cycliste Philippe Wagner Bazin </w:t>
      </w:r>
      <w:proofErr w:type="spellStart"/>
      <w:r>
        <w:t>Cycling</w:t>
      </w:r>
      <w:proofErr w:type="spellEnd"/>
      <w:r>
        <w:t xml:space="preserve"> pour l’organisation du « Prix d’Anjeux » qui passera par Jasney le dimanche 23 mars 2025.</w:t>
      </w:r>
    </w:p>
    <w:p w14:paraId="4B15F607" w14:textId="39FE1B28" w:rsidR="00323440" w:rsidRDefault="00323440" w:rsidP="00E70E63">
      <w:pPr>
        <w:tabs>
          <w:tab w:val="left" w:pos="2586"/>
        </w:tabs>
        <w:spacing w:line="276" w:lineRule="auto"/>
        <w:jc w:val="both"/>
      </w:pPr>
      <w:r>
        <w:t xml:space="preserve">- L’organisation du </w:t>
      </w:r>
      <w:r w:rsidRPr="00323440">
        <w:rPr>
          <w:b/>
          <w:bCs/>
        </w:rPr>
        <w:t>Festival de Haute-Comté</w:t>
      </w:r>
      <w:r>
        <w:t xml:space="preserve"> qui aura lieu à </w:t>
      </w:r>
      <w:r w:rsidRPr="00323440">
        <w:rPr>
          <w:b/>
          <w:bCs/>
        </w:rPr>
        <w:t>Jasney le samedi 5 juillet</w:t>
      </w:r>
      <w:r>
        <w:t xml:space="preserve"> se poursuit. </w:t>
      </w:r>
      <w:r w:rsidRPr="00323440">
        <w:rPr>
          <w:b/>
          <w:bCs/>
        </w:rPr>
        <w:t>Quatre-vingts bénévoles</w:t>
      </w:r>
      <w:r>
        <w:t xml:space="preserve"> issus d’associations d’Anjeux, Dampierre et Jasney travaillent actuellement au bon déroulement de la manifestation </w:t>
      </w:r>
      <w:r w:rsidR="00000158">
        <w:t>au cours de laquelle seront proposés des</w:t>
      </w:r>
      <w:r>
        <w:t xml:space="preserve"> randonnées patrimoniales</w:t>
      </w:r>
      <w:r w:rsidR="00000158">
        <w:t xml:space="preserve">, des </w:t>
      </w:r>
      <w:r>
        <w:t>concerts,</w:t>
      </w:r>
      <w:r w:rsidR="00000158">
        <w:t xml:space="preserve"> des</w:t>
      </w:r>
      <w:r>
        <w:t xml:space="preserve"> spectacles</w:t>
      </w:r>
      <w:r w:rsidR="00000158">
        <w:t xml:space="preserve">, des animations et des </w:t>
      </w:r>
      <w:r w:rsidR="00D022C2">
        <w:t xml:space="preserve">points de </w:t>
      </w:r>
      <w:r w:rsidR="00000158">
        <w:t>buvette-restauration.</w:t>
      </w:r>
    </w:p>
    <w:p w14:paraId="7D380206" w14:textId="4A70C3B0" w:rsidR="00EC1379" w:rsidRDefault="00EC1379" w:rsidP="00E70E63">
      <w:pPr>
        <w:tabs>
          <w:tab w:val="left" w:pos="2586"/>
        </w:tabs>
        <w:spacing w:line="276" w:lineRule="auto"/>
        <w:jc w:val="both"/>
      </w:pPr>
      <w:r>
        <w:t xml:space="preserve">- Compte tenu de l’important travail d’organisation du Festival de Haute Comté, </w:t>
      </w:r>
      <w:r w:rsidRPr="00EC1379">
        <w:rPr>
          <w:b/>
          <w:bCs/>
        </w:rPr>
        <w:t>il n’y aura pas cette année de repas champêtre communal</w:t>
      </w:r>
      <w:r>
        <w:t>. L’idée est reconduite pour les années futures.</w:t>
      </w:r>
    </w:p>
    <w:p w14:paraId="7732C351" w14:textId="6692BD67" w:rsidR="00000158" w:rsidRDefault="00000158" w:rsidP="00E70E63">
      <w:pPr>
        <w:tabs>
          <w:tab w:val="left" w:pos="2586"/>
        </w:tabs>
        <w:spacing w:line="276" w:lineRule="auto"/>
        <w:jc w:val="both"/>
      </w:pPr>
      <w:r>
        <w:t xml:space="preserve">- La prochaine réunion du conseil municipal aura lieu </w:t>
      </w:r>
      <w:r w:rsidRPr="00000158">
        <w:rPr>
          <w:b/>
          <w:bCs/>
        </w:rPr>
        <w:t>le lundi 7 avril</w:t>
      </w:r>
      <w:r>
        <w:t xml:space="preserve"> pour le vote du budget.</w:t>
      </w:r>
    </w:p>
    <w:p w14:paraId="2A133601" w14:textId="7ACF2851" w:rsidR="00D022C2" w:rsidRPr="00F727B8" w:rsidRDefault="00D022C2" w:rsidP="00E70E63">
      <w:pPr>
        <w:tabs>
          <w:tab w:val="left" w:pos="2586"/>
        </w:tabs>
        <w:spacing w:line="276" w:lineRule="auto"/>
        <w:jc w:val="both"/>
        <w:rPr>
          <w:b/>
          <w:bCs/>
        </w:rPr>
      </w:pPr>
      <w:r>
        <w:t xml:space="preserve">                                                                                      La séance est levée à 22h45</w:t>
      </w:r>
    </w:p>
    <w:p w14:paraId="6827BC82" w14:textId="77777777" w:rsidR="00EA70E9" w:rsidRDefault="00EA70E9" w:rsidP="00EA70E9">
      <w:pPr>
        <w:pStyle w:val="Paragraphedeliste"/>
        <w:tabs>
          <w:tab w:val="left" w:pos="142"/>
        </w:tabs>
        <w:spacing w:line="276" w:lineRule="auto"/>
        <w:ind w:left="284"/>
        <w:jc w:val="both"/>
        <w:rPr>
          <w:u w:val="single"/>
        </w:rPr>
      </w:pPr>
    </w:p>
    <w:p w14:paraId="037024F5" w14:textId="77777777" w:rsidR="00D022C2" w:rsidRDefault="00D022C2" w:rsidP="00EA70E9">
      <w:pPr>
        <w:pStyle w:val="Paragraphedeliste"/>
        <w:tabs>
          <w:tab w:val="left" w:pos="142"/>
        </w:tabs>
        <w:spacing w:line="276" w:lineRule="auto"/>
        <w:ind w:left="284"/>
        <w:jc w:val="both"/>
        <w:rPr>
          <w:u w:val="single"/>
        </w:rPr>
      </w:pPr>
    </w:p>
    <w:p w14:paraId="44DA3644" w14:textId="77777777" w:rsidR="005975A0" w:rsidRDefault="005975A0"/>
    <w:sectPr w:rsidR="005975A0" w:rsidSect="00EA70E9">
      <w:pgSz w:w="11906" w:h="16838"/>
      <w:pgMar w:top="1417" w:right="1417" w:bottom="1417" w:left="141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CB4B13" w14:textId="77777777" w:rsidR="00992D56" w:rsidRDefault="00992D56" w:rsidP="00EA70E9">
      <w:r>
        <w:separator/>
      </w:r>
    </w:p>
  </w:endnote>
  <w:endnote w:type="continuationSeparator" w:id="0">
    <w:p w14:paraId="53CF2372" w14:textId="77777777" w:rsidR="00992D56" w:rsidRDefault="00992D56" w:rsidP="00EA70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0">
    <w:charset w:val="0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EA7D9F" w14:textId="77777777" w:rsidR="00992D56" w:rsidRDefault="00992D56" w:rsidP="00EA70E9">
      <w:r>
        <w:separator/>
      </w:r>
    </w:p>
  </w:footnote>
  <w:footnote w:type="continuationSeparator" w:id="0">
    <w:p w14:paraId="452341D3" w14:textId="77777777" w:rsidR="00992D56" w:rsidRDefault="00992D56" w:rsidP="00EA70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9C792F"/>
    <w:multiLevelType w:val="multilevel"/>
    <w:tmpl w:val="B7FE1766"/>
    <w:styleLink w:val="WWNum1"/>
    <w:lvl w:ilvl="0">
      <w:start w:val="1"/>
      <w:numFmt w:val="decimal"/>
      <w:lvlText w:val="%1"/>
      <w:lvlJc w:val="left"/>
      <w:pPr>
        <w:ind w:left="218" w:hanging="360"/>
      </w:pPr>
    </w:lvl>
    <w:lvl w:ilvl="1">
      <w:start w:val="1"/>
      <w:numFmt w:val="decimal"/>
      <w:lvlText w:val="%1.%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1" w15:restartNumberingAfterBreak="0">
    <w:nsid w:val="6C210AAD"/>
    <w:multiLevelType w:val="hybridMultilevel"/>
    <w:tmpl w:val="EC24A626"/>
    <w:lvl w:ilvl="0" w:tplc="6D8E6D06">
      <w:start w:val="4"/>
      <w:numFmt w:val="bullet"/>
      <w:lvlText w:val="-"/>
      <w:lvlJc w:val="left"/>
      <w:pPr>
        <w:ind w:left="720" w:hanging="360"/>
      </w:pPr>
      <w:rPr>
        <w:rFonts w:ascii="Liberation Serif" w:eastAsia="NSimSun" w:hAnsi="Liberation Serif" w:cs="Liberation Serif"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06051434">
    <w:abstractNumId w:val="0"/>
  </w:num>
  <w:num w:numId="2" w16cid:durableId="3758112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85243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748251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0E9"/>
    <w:rsid w:val="00000158"/>
    <w:rsid w:val="000549AC"/>
    <w:rsid w:val="000C6970"/>
    <w:rsid w:val="001F475D"/>
    <w:rsid w:val="002310FB"/>
    <w:rsid w:val="00323440"/>
    <w:rsid w:val="003E50BC"/>
    <w:rsid w:val="00446F84"/>
    <w:rsid w:val="00541BF7"/>
    <w:rsid w:val="005975A0"/>
    <w:rsid w:val="005E65F6"/>
    <w:rsid w:val="005F3CA6"/>
    <w:rsid w:val="006B23B9"/>
    <w:rsid w:val="008026D9"/>
    <w:rsid w:val="00856050"/>
    <w:rsid w:val="00901B64"/>
    <w:rsid w:val="00903E10"/>
    <w:rsid w:val="00975ADA"/>
    <w:rsid w:val="00992D56"/>
    <w:rsid w:val="00A0240C"/>
    <w:rsid w:val="00B2485C"/>
    <w:rsid w:val="00BA4761"/>
    <w:rsid w:val="00C32B85"/>
    <w:rsid w:val="00C61EBC"/>
    <w:rsid w:val="00C96727"/>
    <w:rsid w:val="00CB003B"/>
    <w:rsid w:val="00CE2A95"/>
    <w:rsid w:val="00D022C2"/>
    <w:rsid w:val="00D56459"/>
    <w:rsid w:val="00DA705B"/>
    <w:rsid w:val="00DB04A0"/>
    <w:rsid w:val="00E70E63"/>
    <w:rsid w:val="00EA4B97"/>
    <w:rsid w:val="00EA6CB5"/>
    <w:rsid w:val="00EA70E9"/>
    <w:rsid w:val="00EC1379"/>
    <w:rsid w:val="00F727B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FBBFF"/>
  <w15:chartTrackingRefBased/>
  <w15:docId w15:val="{12D1ADAC-F2D2-4201-A8E5-14445D161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70E9"/>
    <w:pPr>
      <w:suppressAutoHyphens/>
      <w:autoSpaceDN w:val="0"/>
      <w:spacing w:after="0" w:line="240" w:lineRule="auto"/>
    </w:pPr>
    <w:rPr>
      <w:rFonts w:ascii="Liberation Serif" w:eastAsia="NSimSun" w:hAnsi="Liberation Serif" w:cs="Lucida Sans"/>
      <w:kern w:val="3"/>
      <w:sz w:val="24"/>
      <w:szCs w:val="24"/>
      <w:lang w:eastAsia="zh-CN" w:bidi="hi-IN"/>
      <w14:ligatures w14:val="none"/>
    </w:rPr>
  </w:style>
  <w:style w:type="paragraph" w:styleId="Titre1">
    <w:name w:val="heading 1"/>
    <w:basedOn w:val="Normal"/>
    <w:next w:val="Normal"/>
    <w:link w:val="Titre1Car"/>
    <w:uiPriority w:val="9"/>
    <w:qFormat/>
    <w:rsid w:val="00EA70E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EA70E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EA70E9"/>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EA70E9"/>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EA70E9"/>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EA70E9"/>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EA70E9"/>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EA70E9"/>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EA70E9"/>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A70E9"/>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EA70E9"/>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EA70E9"/>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EA70E9"/>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EA70E9"/>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EA70E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EA70E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EA70E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EA70E9"/>
    <w:rPr>
      <w:rFonts w:eastAsiaTheme="majorEastAsia" w:cstheme="majorBidi"/>
      <w:color w:val="272727" w:themeColor="text1" w:themeTint="D8"/>
    </w:rPr>
  </w:style>
  <w:style w:type="paragraph" w:styleId="Titre">
    <w:name w:val="Title"/>
    <w:basedOn w:val="Normal"/>
    <w:next w:val="Normal"/>
    <w:link w:val="TitreCar"/>
    <w:uiPriority w:val="10"/>
    <w:qFormat/>
    <w:rsid w:val="00EA70E9"/>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A70E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EA70E9"/>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EA70E9"/>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EA70E9"/>
    <w:pPr>
      <w:spacing w:before="160"/>
      <w:jc w:val="center"/>
    </w:pPr>
    <w:rPr>
      <w:i/>
      <w:iCs/>
      <w:color w:val="404040" w:themeColor="text1" w:themeTint="BF"/>
    </w:rPr>
  </w:style>
  <w:style w:type="character" w:customStyle="1" w:styleId="CitationCar">
    <w:name w:val="Citation Car"/>
    <w:basedOn w:val="Policepardfaut"/>
    <w:link w:val="Citation"/>
    <w:uiPriority w:val="29"/>
    <w:rsid w:val="00EA70E9"/>
    <w:rPr>
      <w:i/>
      <w:iCs/>
      <w:color w:val="404040" w:themeColor="text1" w:themeTint="BF"/>
    </w:rPr>
  </w:style>
  <w:style w:type="paragraph" w:styleId="Paragraphedeliste">
    <w:name w:val="List Paragraph"/>
    <w:basedOn w:val="Normal"/>
    <w:qFormat/>
    <w:rsid w:val="00EA70E9"/>
    <w:pPr>
      <w:ind w:left="720"/>
      <w:contextualSpacing/>
    </w:pPr>
  </w:style>
  <w:style w:type="character" w:styleId="Accentuationintense">
    <w:name w:val="Intense Emphasis"/>
    <w:basedOn w:val="Policepardfaut"/>
    <w:uiPriority w:val="21"/>
    <w:qFormat/>
    <w:rsid w:val="00EA70E9"/>
    <w:rPr>
      <w:i/>
      <w:iCs/>
      <w:color w:val="2F5496" w:themeColor="accent1" w:themeShade="BF"/>
    </w:rPr>
  </w:style>
  <w:style w:type="paragraph" w:styleId="Citationintense">
    <w:name w:val="Intense Quote"/>
    <w:basedOn w:val="Normal"/>
    <w:next w:val="Normal"/>
    <w:link w:val="CitationintenseCar"/>
    <w:uiPriority w:val="30"/>
    <w:qFormat/>
    <w:rsid w:val="00EA70E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EA70E9"/>
    <w:rPr>
      <w:i/>
      <w:iCs/>
      <w:color w:val="2F5496" w:themeColor="accent1" w:themeShade="BF"/>
    </w:rPr>
  </w:style>
  <w:style w:type="character" w:styleId="Rfrenceintense">
    <w:name w:val="Intense Reference"/>
    <w:basedOn w:val="Policepardfaut"/>
    <w:uiPriority w:val="32"/>
    <w:qFormat/>
    <w:rsid w:val="00EA70E9"/>
    <w:rPr>
      <w:b/>
      <w:bCs/>
      <w:smallCaps/>
      <w:color w:val="2F5496" w:themeColor="accent1" w:themeShade="BF"/>
      <w:spacing w:val="5"/>
    </w:rPr>
  </w:style>
  <w:style w:type="paragraph" w:customStyle="1" w:styleId="Standard">
    <w:name w:val="Standard"/>
    <w:rsid w:val="00EA70E9"/>
    <w:pPr>
      <w:suppressAutoHyphens/>
      <w:autoSpaceDN w:val="0"/>
      <w:spacing w:after="0" w:line="240" w:lineRule="auto"/>
    </w:pPr>
    <w:rPr>
      <w:rFonts w:ascii="Liberation Serif" w:eastAsia="NSimSun" w:hAnsi="Liberation Serif" w:cs="Lucida Sans"/>
      <w:kern w:val="3"/>
      <w:sz w:val="24"/>
      <w:szCs w:val="24"/>
      <w:lang w:eastAsia="zh-CN" w:bidi="hi-IN"/>
      <w14:ligatures w14:val="none"/>
    </w:rPr>
  </w:style>
  <w:style w:type="numbering" w:customStyle="1" w:styleId="WWNum1">
    <w:name w:val="WWNum1"/>
    <w:rsid w:val="00EA70E9"/>
    <w:pPr>
      <w:numPr>
        <w:numId w:val="1"/>
      </w:numPr>
    </w:pPr>
  </w:style>
  <w:style w:type="paragraph" w:styleId="En-tte">
    <w:name w:val="header"/>
    <w:basedOn w:val="Normal"/>
    <w:link w:val="En-tteCar"/>
    <w:uiPriority w:val="99"/>
    <w:unhideWhenUsed/>
    <w:rsid w:val="00EA70E9"/>
    <w:pPr>
      <w:tabs>
        <w:tab w:val="center" w:pos="4536"/>
        <w:tab w:val="right" w:pos="9072"/>
      </w:tabs>
    </w:pPr>
    <w:rPr>
      <w:rFonts w:cs="Mangal"/>
      <w:szCs w:val="21"/>
    </w:rPr>
  </w:style>
  <w:style w:type="character" w:customStyle="1" w:styleId="En-tteCar">
    <w:name w:val="En-tête Car"/>
    <w:basedOn w:val="Policepardfaut"/>
    <w:link w:val="En-tte"/>
    <w:uiPriority w:val="99"/>
    <w:rsid w:val="00EA70E9"/>
    <w:rPr>
      <w:rFonts w:ascii="Liberation Serif" w:eastAsia="NSimSun" w:hAnsi="Liberation Serif" w:cs="Mangal"/>
      <w:kern w:val="3"/>
      <w:sz w:val="24"/>
      <w:szCs w:val="21"/>
      <w:lang w:eastAsia="zh-CN" w:bidi="hi-IN"/>
      <w14:ligatures w14:val="none"/>
    </w:rPr>
  </w:style>
  <w:style w:type="paragraph" w:styleId="Pieddepage">
    <w:name w:val="footer"/>
    <w:basedOn w:val="Normal"/>
    <w:link w:val="PieddepageCar"/>
    <w:uiPriority w:val="99"/>
    <w:unhideWhenUsed/>
    <w:rsid w:val="00EA70E9"/>
    <w:pPr>
      <w:tabs>
        <w:tab w:val="center" w:pos="4536"/>
        <w:tab w:val="right" w:pos="9072"/>
      </w:tabs>
    </w:pPr>
    <w:rPr>
      <w:rFonts w:cs="Mangal"/>
      <w:szCs w:val="21"/>
    </w:rPr>
  </w:style>
  <w:style w:type="character" w:customStyle="1" w:styleId="PieddepageCar">
    <w:name w:val="Pied de page Car"/>
    <w:basedOn w:val="Policepardfaut"/>
    <w:link w:val="Pieddepage"/>
    <w:uiPriority w:val="99"/>
    <w:rsid w:val="00EA70E9"/>
    <w:rPr>
      <w:rFonts w:ascii="Liberation Serif" w:eastAsia="NSimSun" w:hAnsi="Liberation Serif" w:cs="Mangal"/>
      <w:kern w:val="3"/>
      <w:sz w:val="24"/>
      <w:szCs w:val="21"/>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926541">
      <w:bodyDiv w:val="1"/>
      <w:marLeft w:val="0"/>
      <w:marRight w:val="0"/>
      <w:marTop w:val="0"/>
      <w:marBottom w:val="0"/>
      <w:divBdr>
        <w:top w:val="none" w:sz="0" w:space="0" w:color="auto"/>
        <w:left w:val="none" w:sz="0" w:space="0" w:color="auto"/>
        <w:bottom w:val="none" w:sz="0" w:space="0" w:color="auto"/>
        <w:right w:val="none" w:sz="0" w:space="0" w:color="auto"/>
      </w:divBdr>
    </w:div>
    <w:div w:id="1579827530">
      <w:bodyDiv w:val="1"/>
      <w:marLeft w:val="0"/>
      <w:marRight w:val="0"/>
      <w:marTop w:val="0"/>
      <w:marBottom w:val="0"/>
      <w:divBdr>
        <w:top w:val="none" w:sz="0" w:space="0" w:color="auto"/>
        <w:left w:val="none" w:sz="0" w:space="0" w:color="auto"/>
        <w:bottom w:val="none" w:sz="0" w:space="0" w:color="auto"/>
        <w:right w:val="none" w:sz="0" w:space="0" w:color="auto"/>
      </w:divBdr>
    </w:div>
    <w:div w:id="193220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139</TotalTime>
  <Pages>3</Pages>
  <Words>886</Words>
  <Characters>4876</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Laurent Garret</dc:creator>
  <cp:keywords/>
  <dc:description/>
  <cp:lastModifiedBy>Laurent Garret</cp:lastModifiedBy>
  <cp:revision>18</cp:revision>
  <dcterms:created xsi:type="dcterms:W3CDTF">2025-03-13T17:24:00Z</dcterms:created>
  <dcterms:modified xsi:type="dcterms:W3CDTF">2025-03-18T09:18:00Z</dcterms:modified>
</cp:coreProperties>
</file>