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772" w:rsidRPr="007137A7" w:rsidRDefault="00FD1772" w:rsidP="007137A7">
      <w:pPr>
        <w:spacing w:after="0"/>
        <w:jc w:val="both"/>
        <w:rPr>
          <w:rFonts w:ascii="Times New Roman" w:eastAsia="Times New Roman" w:hAnsi="Times New Roman" w:cs="Times New Roman"/>
          <w:b/>
          <w:color w:val="000000"/>
          <w:sz w:val="24"/>
          <w:szCs w:val="24"/>
          <w:shd w:val="clear" w:color="auto" w:fill="FFFFFF"/>
          <w:lang w:eastAsia="ar-SA"/>
        </w:rPr>
      </w:pPr>
      <w:bookmarkStart w:id="0" w:name="_GoBack"/>
      <w:bookmarkEnd w:id="0"/>
      <w:r w:rsidRPr="007137A7">
        <w:rPr>
          <w:rFonts w:ascii="Times New Roman" w:eastAsia="Times New Roman" w:hAnsi="Times New Roman" w:cs="Times New Roman"/>
          <w:b/>
          <w:color w:val="000000"/>
          <w:sz w:val="24"/>
          <w:szCs w:val="24"/>
          <w:shd w:val="clear" w:color="auto" w:fill="FFFFFF"/>
          <w:lang w:eastAsia="ar-SA"/>
        </w:rPr>
        <w:t xml:space="preserve">01 - </w:t>
      </w:r>
      <w:r w:rsidR="007137A7" w:rsidRPr="007137A7">
        <w:rPr>
          <w:rFonts w:ascii="Times New Roman" w:hAnsi="Times New Roman" w:cs="Times New Roman"/>
          <w:b/>
          <w:sz w:val="24"/>
          <w:szCs w:val="24"/>
        </w:rPr>
        <w:t xml:space="preserve">RODP </w:t>
      </w:r>
      <w:proofErr w:type="spellStart"/>
      <w:r w:rsidR="007137A7" w:rsidRPr="007137A7">
        <w:rPr>
          <w:rFonts w:ascii="Times New Roman" w:hAnsi="Times New Roman" w:cs="Times New Roman"/>
          <w:b/>
          <w:sz w:val="24"/>
          <w:szCs w:val="24"/>
        </w:rPr>
        <w:t>telecom</w:t>
      </w:r>
      <w:proofErr w:type="spellEnd"/>
      <w:r w:rsidR="007137A7" w:rsidRPr="007137A7">
        <w:rPr>
          <w:rFonts w:ascii="Times New Roman" w:hAnsi="Times New Roman" w:cs="Times New Roman"/>
          <w:b/>
          <w:sz w:val="24"/>
          <w:szCs w:val="24"/>
        </w:rPr>
        <w:t xml:space="preserve"> 2025</w:t>
      </w:r>
    </w:p>
    <w:p w:rsidR="005869B5" w:rsidRPr="006912E4" w:rsidRDefault="005869B5" w:rsidP="006912E4">
      <w:pPr>
        <w:tabs>
          <w:tab w:val="left" w:pos="360"/>
        </w:tabs>
        <w:autoSpaceDE w:val="0"/>
        <w:autoSpaceDN w:val="0"/>
        <w:adjustRightInd w:val="0"/>
        <w:spacing w:before="20" w:after="0" w:line="240" w:lineRule="auto"/>
        <w:ind w:right="57" w:hanging="11"/>
        <w:jc w:val="both"/>
        <w:rPr>
          <w:rFonts w:ascii="Times New Roman" w:hAnsi="Times New Roman" w:cs="Times New Roman"/>
          <w:szCs w:val="20"/>
        </w:rPr>
      </w:pPr>
      <w:r w:rsidRPr="006912E4">
        <w:rPr>
          <w:rFonts w:ascii="Times New Roman" w:hAnsi="Times New Roman" w:cs="Times New Roman"/>
          <w:szCs w:val="20"/>
        </w:rPr>
        <w:t>Le montant de la RODP due au 1er janvier d'une année N est calculée avec le coefficient d'actualisation de l'année N, mais à parti</w:t>
      </w:r>
      <w:r w:rsidR="006912E4">
        <w:rPr>
          <w:rFonts w:ascii="Times New Roman" w:hAnsi="Times New Roman" w:cs="Times New Roman"/>
          <w:szCs w:val="20"/>
        </w:rPr>
        <w:t>r du patrimoine de l'année N-1.</w:t>
      </w:r>
    </w:p>
    <w:p w:rsidR="005869B5" w:rsidRPr="006912E4" w:rsidRDefault="005869B5" w:rsidP="006912E4">
      <w:pPr>
        <w:tabs>
          <w:tab w:val="left" w:pos="360"/>
        </w:tabs>
        <w:autoSpaceDE w:val="0"/>
        <w:autoSpaceDN w:val="0"/>
        <w:adjustRightInd w:val="0"/>
        <w:spacing w:before="20" w:after="0" w:line="240" w:lineRule="auto"/>
        <w:ind w:right="57" w:firstLine="284"/>
        <w:jc w:val="both"/>
        <w:rPr>
          <w:rFonts w:ascii="Times New Roman" w:hAnsi="Times New Roman" w:cs="Times New Roman"/>
          <w:szCs w:val="20"/>
        </w:rPr>
      </w:pPr>
      <w:r w:rsidRPr="006912E4">
        <w:rPr>
          <w:rFonts w:ascii="Times New Roman" w:hAnsi="Times New Roman" w:cs="Times New Roman"/>
          <w:szCs w:val="20"/>
        </w:rPr>
        <w:t xml:space="preserve">Patrimoine de la commune de la Commune de </w:t>
      </w:r>
      <w:proofErr w:type="spellStart"/>
      <w:r w:rsidRPr="006912E4">
        <w:rPr>
          <w:rFonts w:ascii="Times New Roman" w:hAnsi="Times New Roman" w:cs="Times New Roman"/>
          <w:szCs w:val="20"/>
        </w:rPr>
        <w:t>Crux</w:t>
      </w:r>
      <w:proofErr w:type="spellEnd"/>
      <w:r w:rsidRPr="006912E4">
        <w:rPr>
          <w:rFonts w:ascii="Times New Roman" w:hAnsi="Times New Roman" w:cs="Times New Roman"/>
          <w:szCs w:val="20"/>
        </w:rPr>
        <w:t xml:space="preserve"> la Ville au 31/12/2024 : </w:t>
      </w:r>
    </w:p>
    <w:p w:rsidR="005869B5" w:rsidRPr="006912E4" w:rsidRDefault="005869B5" w:rsidP="006912E4">
      <w:pPr>
        <w:tabs>
          <w:tab w:val="left" w:pos="360"/>
        </w:tabs>
        <w:autoSpaceDE w:val="0"/>
        <w:autoSpaceDN w:val="0"/>
        <w:adjustRightInd w:val="0"/>
        <w:spacing w:before="20" w:after="0" w:line="240" w:lineRule="auto"/>
        <w:ind w:right="57" w:firstLine="284"/>
        <w:jc w:val="both"/>
        <w:rPr>
          <w:rFonts w:ascii="Times New Roman" w:hAnsi="Times New Roman" w:cs="Times New Roman"/>
          <w:szCs w:val="20"/>
        </w:rPr>
      </w:pPr>
      <w:r w:rsidRPr="006912E4">
        <w:rPr>
          <w:rFonts w:ascii="Times New Roman" w:hAnsi="Times New Roman" w:cs="Times New Roman"/>
          <w:szCs w:val="20"/>
        </w:rPr>
        <w:t>Artères aériennes : 11.021km</w:t>
      </w:r>
    </w:p>
    <w:p w:rsidR="005869B5" w:rsidRPr="006912E4" w:rsidRDefault="006912E4" w:rsidP="006912E4">
      <w:pPr>
        <w:tabs>
          <w:tab w:val="left" w:pos="360"/>
        </w:tabs>
        <w:autoSpaceDE w:val="0"/>
        <w:autoSpaceDN w:val="0"/>
        <w:adjustRightInd w:val="0"/>
        <w:spacing w:before="20" w:after="0" w:line="240" w:lineRule="auto"/>
        <w:ind w:right="57" w:firstLine="284"/>
        <w:jc w:val="both"/>
        <w:rPr>
          <w:rFonts w:ascii="Times New Roman" w:hAnsi="Times New Roman" w:cs="Times New Roman"/>
          <w:szCs w:val="20"/>
        </w:rPr>
      </w:pPr>
      <w:r>
        <w:rPr>
          <w:rFonts w:ascii="Times New Roman" w:hAnsi="Times New Roman" w:cs="Times New Roman"/>
          <w:szCs w:val="20"/>
        </w:rPr>
        <w:t xml:space="preserve">Artères en </w:t>
      </w:r>
      <w:r w:rsidR="003D090F">
        <w:rPr>
          <w:rFonts w:ascii="Times New Roman" w:hAnsi="Times New Roman" w:cs="Times New Roman"/>
          <w:szCs w:val="20"/>
        </w:rPr>
        <w:t>sous-sol</w:t>
      </w:r>
      <w:r>
        <w:rPr>
          <w:rFonts w:ascii="Times New Roman" w:hAnsi="Times New Roman" w:cs="Times New Roman"/>
          <w:szCs w:val="20"/>
        </w:rPr>
        <w:t xml:space="preserve"> : 2.042km</w:t>
      </w:r>
    </w:p>
    <w:p w:rsidR="005869B5" w:rsidRPr="006912E4" w:rsidRDefault="005869B5" w:rsidP="006912E4">
      <w:pPr>
        <w:tabs>
          <w:tab w:val="left" w:pos="360"/>
        </w:tabs>
        <w:autoSpaceDE w:val="0"/>
        <w:autoSpaceDN w:val="0"/>
        <w:adjustRightInd w:val="0"/>
        <w:spacing w:before="20" w:after="0" w:line="240" w:lineRule="auto"/>
        <w:ind w:right="57" w:hanging="11"/>
        <w:jc w:val="both"/>
        <w:rPr>
          <w:rFonts w:ascii="Times New Roman" w:hAnsi="Times New Roman" w:cs="Times New Roman"/>
          <w:szCs w:val="20"/>
        </w:rPr>
      </w:pPr>
      <w:r w:rsidRPr="006912E4">
        <w:rPr>
          <w:rFonts w:ascii="Times New Roman" w:hAnsi="Times New Roman" w:cs="Times New Roman"/>
          <w:szCs w:val="20"/>
        </w:rPr>
        <w:t xml:space="preserve">Tarif de </w:t>
      </w:r>
      <w:r w:rsidR="003D090F" w:rsidRPr="006912E4">
        <w:rPr>
          <w:rFonts w:ascii="Times New Roman" w:hAnsi="Times New Roman" w:cs="Times New Roman"/>
          <w:szCs w:val="20"/>
        </w:rPr>
        <w:t>base RODP</w:t>
      </w:r>
      <w:r w:rsidRPr="006912E4">
        <w:rPr>
          <w:rFonts w:ascii="Times New Roman" w:hAnsi="Times New Roman" w:cs="Times New Roman"/>
          <w:szCs w:val="20"/>
        </w:rPr>
        <w:t xml:space="preserve"> 2025</w:t>
      </w:r>
    </w:p>
    <w:p w:rsidR="005869B5" w:rsidRPr="006912E4" w:rsidRDefault="005869B5" w:rsidP="006912E4">
      <w:pPr>
        <w:tabs>
          <w:tab w:val="left" w:pos="360"/>
        </w:tabs>
        <w:autoSpaceDE w:val="0"/>
        <w:autoSpaceDN w:val="0"/>
        <w:adjustRightInd w:val="0"/>
        <w:spacing w:before="20" w:after="0" w:line="240" w:lineRule="auto"/>
        <w:ind w:left="426" w:right="57" w:hanging="437"/>
        <w:jc w:val="both"/>
        <w:rPr>
          <w:rFonts w:ascii="Times New Roman" w:hAnsi="Times New Roman" w:cs="Times New Roman"/>
          <w:szCs w:val="20"/>
        </w:rPr>
      </w:pPr>
      <w:r w:rsidRPr="006912E4">
        <w:rPr>
          <w:rFonts w:ascii="Times New Roman" w:hAnsi="Times New Roman" w:cs="Times New Roman"/>
          <w:szCs w:val="20"/>
        </w:rPr>
        <w:t>- 40€ le km d'artère aérienne</w:t>
      </w:r>
    </w:p>
    <w:p w:rsidR="005869B5" w:rsidRPr="006912E4" w:rsidRDefault="005869B5" w:rsidP="006912E4">
      <w:pPr>
        <w:tabs>
          <w:tab w:val="left" w:pos="360"/>
        </w:tabs>
        <w:autoSpaceDE w:val="0"/>
        <w:autoSpaceDN w:val="0"/>
        <w:adjustRightInd w:val="0"/>
        <w:spacing w:before="20" w:after="0" w:line="240" w:lineRule="auto"/>
        <w:ind w:left="426" w:right="57" w:hanging="437"/>
        <w:jc w:val="both"/>
        <w:rPr>
          <w:rFonts w:ascii="Times New Roman" w:hAnsi="Times New Roman" w:cs="Times New Roman"/>
          <w:szCs w:val="20"/>
        </w:rPr>
      </w:pPr>
      <w:r w:rsidRPr="006912E4">
        <w:rPr>
          <w:rFonts w:ascii="Times New Roman" w:hAnsi="Times New Roman" w:cs="Times New Roman"/>
          <w:szCs w:val="20"/>
        </w:rPr>
        <w:t>- 30€ le km d'artère souterraine</w:t>
      </w:r>
    </w:p>
    <w:p w:rsidR="005869B5" w:rsidRPr="006912E4" w:rsidRDefault="005869B5" w:rsidP="006912E4">
      <w:pPr>
        <w:tabs>
          <w:tab w:val="left" w:pos="360"/>
        </w:tabs>
        <w:autoSpaceDE w:val="0"/>
        <w:autoSpaceDN w:val="0"/>
        <w:adjustRightInd w:val="0"/>
        <w:spacing w:before="20" w:after="0" w:line="240" w:lineRule="auto"/>
        <w:ind w:right="57" w:hanging="11"/>
        <w:jc w:val="both"/>
        <w:rPr>
          <w:rFonts w:ascii="Times New Roman" w:hAnsi="Times New Roman" w:cs="Times New Roman"/>
          <w:szCs w:val="20"/>
        </w:rPr>
      </w:pPr>
      <w:r w:rsidRPr="006912E4">
        <w:rPr>
          <w:rFonts w:ascii="Times New Roman" w:hAnsi="Times New Roman" w:cs="Times New Roman"/>
          <w:szCs w:val="20"/>
        </w:rPr>
        <w:t>Le tarif de base est à multiplier par le coefficient d'actualisa</w:t>
      </w:r>
      <w:r w:rsidR="006912E4">
        <w:rPr>
          <w:rFonts w:ascii="Times New Roman" w:hAnsi="Times New Roman" w:cs="Times New Roman"/>
          <w:szCs w:val="20"/>
        </w:rPr>
        <w:t>tion qui est de 1.62182 en 2025</w:t>
      </w:r>
    </w:p>
    <w:p w:rsidR="005869B5" w:rsidRPr="006912E4" w:rsidRDefault="005869B5" w:rsidP="006912E4">
      <w:pPr>
        <w:tabs>
          <w:tab w:val="left" w:pos="360"/>
        </w:tabs>
        <w:autoSpaceDE w:val="0"/>
        <w:autoSpaceDN w:val="0"/>
        <w:adjustRightInd w:val="0"/>
        <w:spacing w:before="20" w:after="0" w:line="240" w:lineRule="auto"/>
        <w:ind w:right="57" w:hanging="11"/>
        <w:jc w:val="both"/>
        <w:rPr>
          <w:rFonts w:ascii="Times New Roman" w:hAnsi="Times New Roman" w:cs="Times New Roman"/>
          <w:szCs w:val="20"/>
        </w:rPr>
      </w:pPr>
      <w:r w:rsidRPr="006912E4">
        <w:rPr>
          <w:rFonts w:ascii="Times New Roman" w:hAnsi="Times New Roman" w:cs="Times New Roman"/>
          <w:szCs w:val="20"/>
        </w:rPr>
        <w:t>Le montant de la redevance pour l'année 2025 sera de :</w:t>
      </w:r>
    </w:p>
    <w:p w:rsidR="005869B5" w:rsidRPr="006912E4" w:rsidRDefault="005869B5" w:rsidP="006912E4">
      <w:pPr>
        <w:tabs>
          <w:tab w:val="left" w:pos="360"/>
        </w:tabs>
        <w:autoSpaceDE w:val="0"/>
        <w:autoSpaceDN w:val="0"/>
        <w:adjustRightInd w:val="0"/>
        <w:spacing w:before="20" w:after="0" w:line="240" w:lineRule="auto"/>
        <w:ind w:right="57" w:hanging="11"/>
        <w:jc w:val="both"/>
        <w:rPr>
          <w:rFonts w:ascii="Times New Roman" w:hAnsi="Times New Roman" w:cs="Times New Roman"/>
          <w:szCs w:val="20"/>
        </w:rPr>
      </w:pPr>
      <w:r w:rsidRPr="006912E4">
        <w:rPr>
          <w:rFonts w:ascii="Times New Roman" w:hAnsi="Times New Roman" w:cs="Times New Roman"/>
          <w:szCs w:val="20"/>
        </w:rPr>
        <w:t>(11.021 X 40) + (</w:t>
      </w:r>
      <w:r w:rsidR="006912E4">
        <w:rPr>
          <w:rFonts w:ascii="Times New Roman" w:hAnsi="Times New Roman" w:cs="Times New Roman"/>
          <w:szCs w:val="20"/>
        </w:rPr>
        <w:t>2.042 X 30) X 1.62182 = 814.32€</w:t>
      </w:r>
      <w:r w:rsidRPr="006912E4">
        <w:rPr>
          <w:rFonts w:ascii="Times New Roman" w:hAnsi="Times New Roman" w:cs="Times New Roman"/>
          <w:szCs w:val="20"/>
        </w:rPr>
        <w:t xml:space="preserve"> </w:t>
      </w:r>
    </w:p>
    <w:p w:rsidR="005869B5" w:rsidRPr="006912E4" w:rsidRDefault="005869B5" w:rsidP="006912E4">
      <w:pPr>
        <w:tabs>
          <w:tab w:val="left" w:pos="360"/>
        </w:tabs>
        <w:autoSpaceDE w:val="0"/>
        <w:autoSpaceDN w:val="0"/>
        <w:adjustRightInd w:val="0"/>
        <w:spacing w:before="20" w:after="0" w:line="240" w:lineRule="auto"/>
        <w:ind w:right="57"/>
        <w:jc w:val="both"/>
        <w:rPr>
          <w:rFonts w:ascii="Times New Roman" w:hAnsi="Times New Roman" w:cs="Times New Roman"/>
          <w:szCs w:val="20"/>
        </w:rPr>
      </w:pPr>
      <w:r w:rsidRPr="006912E4">
        <w:rPr>
          <w:rFonts w:ascii="Times New Roman" w:hAnsi="Times New Roman" w:cs="Times New Roman"/>
          <w:szCs w:val="20"/>
        </w:rPr>
        <w:t>Le Conseil municipal, entendu cet exposé et après avoir délibéré :</w:t>
      </w:r>
    </w:p>
    <w:p w:rsidR="007137A7" w:rsidRPr="006912E4" w:rsidRDefault="005869B5" w:rsidP="005869B5">
      <w:pPr>
        <w:tabs>
          <w:tab w:val="left" w:pos="360"/>
        </w:tabs>
        <w:autoSpaceDE w:val="0"/>
        <w:autoSpaceDN w:val="0"/>
        <w:adjustRightInd w:val="0"/>
        <w:spacing w:before="20" w:after="0" w:line="240" w:lineRule="auto"/>
        <w:ind w:right="57"/>
        <w:jc w:val="both"/>
        <w:rPr>
          <w:rFonts w:ascii="Times New Roman" w:hAnsi="Times New Roman" w:cs="Times New Roman"/>
          <w:szCs w:val="20"/>
        </w:rPr>
      </w:pPr>
      <w:r w:rsidRPr="006912E4">
        <w:rPr>
          <w:rFonts w:ascii="Times New Roman" w:hAnsi="Times New Roman" w:cs="Times New Roman"/>
          <w:szCs w:val="20"/>
        </w:rPr>
        <w:t xml:space="preserve">Adopte à l'unanimité des membres présents et représentés les propositions qui lui sont faites concernant la redevance d'occupation du domaine public pour les ouvrages de </w:t>
      </w:r>
      <w:r w:rsidR="006912E4" w:rsidRPr="006912E4">
        <w:rPr>
          <w:rFonts w:ascii="Times New Roman" w:hAnsi="Times New Roman" w:cs="Times New Roman"/>
          <w:szCs w:val="20"/>
        </w:rPr>
        <w:t>Télécommunications</w:t>
      </w:r>
      <w:r w:rsidR="006912E4">
        <w:rPr>
          <w:rFonts w:ascii="Times New Roman" w:hAnsi="Times New Roman" w:cs="Times New Roman"/>
          <w:szCs w:val="20"/>
        </w:rPr>
        <w:t xml:space="preserve"> </w:t>
      </w:r>
      <w:r w:rsidRPr="006912E4">
        <w:rPr>
          <w:rFonts w:ascii="Times New Roman" w:hAnsi="Times New Roman" w:cs="Times New Roman"/>
          <w:szCs w:val="20"/>
        </w:rPr>
        <w:t>pour l'année 2025.</w:t>
      </w:r>
    </w:p>
    <w:p w:rsidR="005869B5" w:rsidRDefault="005869B5" w:rsidP="005869B5">
      <w:pPr>
        <w:tabs>
          <w:tab w:val="left" w:pos="360"/>
        </w:tabs>
        <w:autoSpaceDE w:val="0"/>
        <w:autoSpaceDN w:val="0"/>
        <w:adjustRightInd w:val="0"/>
        <w:spacing w:before="20" w:after="0" w:line="240" w:lineRule="auto"/>
        <w:ind w:right="57"/>
        <w:jc w:val="both"/>
        <w:rPr>
          <w:rFonts w:ascii="Times New Roman" w:hAnsi="Times New Roman" w:cs="Times New Roman"/>
          <w:szCs w:val="20"/>
        </w:rPr>
      </w:pPr>
    </w:p>
    <w:p w:rsidR="007137A7" w:rsidRDefault="007137A7" w:rsidP="007137A7">
      <w:pPr>
        <w:tabs>
          <w:tab w:val="left" w:pos="360"/>
        </w:tabs>
        <w:autoSpaceDE w:val="0"/>
        <w:autoSpaceDN w:val="0"/>
        <w:adjustRightInd w:val="0"/>
        <w:spacing w:before="20" w:after="0" w:line="240" w:lineRule="auto"/>
        <w:ind w:right="57"/>
        <w:jc w:val="both"/>
        <w:rPr>
          <w:rFonts w:ascii="Times New Roman" w:hAnsi="Times New Roman" w:cs="Times New Roman"/>
          <w:b/>
          <w:sz w:val="24"/>
          <w:szCs w:val="24"/>
        </w:rPr>
      </w:pPr>
      <w:r w:rsidRPr="007137A7">
        <w:rPr>
          <w:rFonts w:ascii="Times New Roman" w:hAnsi="Times New Roman" w:cs="Times New Roman"/>
          <w:b/>
          <w:sz w:val="24"/>
          <w:szCs w:val="24"/>
        </w:rPr>
        <w:t>02 - Redevance pour occupation du domaine public par les ouvrages d'électricité 2025</w:t>
      </w:r>
    </w:p>
    <w:p w:rsidR="005869B5" w:rsidRPr="006912E4" w:rsidRDefault="005869B5" w:rsidP="006912E4">
      <w:pPr>
        <w:tabs>
          <w:tab w:val="left" w:pos="360"/>
        </w:tabs>
        <w:autoSpaceDE w:val="0"/>
        <w:autoSpaceDN w:val="0"/>
        <w:adjustRightInd w:val="0"/>
        <w:spacing w:before="20" w:after="0" w:line="240" w:lineRule="auto"/>
        <w:ind w:right="57" w:firstLine="113"/>
        <w:jc w:val="both"/>
        <w:rPr>
          <w:rFonts w:ascii="Times New Roman" w:hAnsi="Times New Roman" w:cs="Times New Roman"/>
          <w:szCs w:val="20"/>
        </w:rPr>
      </w:pPr>
      <w:r w:rsidRPr="006912E4">
        <w:rPr>
          <w:rFonts w:ascii="Times New Roman" w:hAnsi="Times New Roman" w:cs="Times New Roman"/>
          <w:szCs w:val="20"/>
        </w:rPr>
        <w:t xml:space="preserve">Le RODP électricité concerne les réseaux publics de distribution d'énergie électrique. Elle est due par le concessionnaire ENEDIS. </w:t>
      </w:r>
    </w:p>
    <w:p w:rsidR="005869B5" w:rsidRPr="006912E4" w:rsidRDefault="005869B5" w:rsidP="006912E4">
      <w:pPr>
        <w:tabs>
          <w:tab w:val="left" w:pos="360"/>
        </w:tabs>
        <w:autoSpaceDE w:val="0"/>
        <w:autoSpaceDN w:val="0"/>
        <w:adjustRightInd w:val="0"/>
        <w:spacing w:before="20" w:after="0" w:line="240" w:lineRule="auto"/>
        <w:ind w:right="57" w:firstLine="113"/>
        <w:jc w:val="both"/>
        <w:rPr>
          <w:rFonts w:ascii="Times New Roman" w:hAnsi="Times New Roman" w:cs="Times New Roman"/>
          <w:szCs w:val="20"/>
        </w:rPr>
      </w:pPr>
      <w:r w:rsidRPr="006912E4">
        <w:rPr>
          <w:rFonts w:ascii="Times New Roman" w:hAnsi="Times New Roman" w:cs="Times New Roman"/>
          <w:szCs w:val="20"/>
        </w:rPr>
        <w:t>Les conseils municipaux peuvent prendre une délibération précisant le montant de cette redevance.</w:t>
      </w:r>
    </w:p>
    <w:p w:rsidR="005869B5" w:rsidRPr="006912E4" w:rsidRDefault="005869B5" w:rsidP="006912E4">
      <w:pPr>
        <w:tabs>
          <w:tab w:val="left" w:pos="360"/>
        </w:tabs>
        <w:autoSpaceDE w:val="0"/>
        <w:autoSpaceDN w:val="0"/>
        <w:adjustRightInd w:val="0"/>
        <w:spacing w:before="20" w:after="0" w:line="240" w:lineRule="auto"/>
        <w:ind w:right="57" w:firstLine="113"/>
        <w:jc w:val="both"/>
        <w:rPr>
          <w:rFonts w:ascii="Times New Roman" w:hAnsi="Times New Roman" w:cs="Times New Roman"/>
          <w:szCs w:val="20"/>
        </w:rPr>
      </w:pPr>
      <w:r w:rsidRPr="006912E4">
        <w:rPr>
          <w:rFonts w:ascii="Times New Roman" w:hAnsi="Times New Roman" w:cs="Times New Roman"/>
          <w:szCs w:val="20"/>
        </w:rPr>
        <w:t xml:space="preserve">Le calcul de cette redevance dépend de la population totale INSEE au 31/12 de l'année N-1. </w:t>
      </w:r>
    </w:p>
    <w:p w:rsidR="005869B5" w:rsidRPr="006912E4" w:rsidRDefault="005869B5" w:rsidP="006912E4">
      <w:pPr>
        <w:tabs>
          <w:tab w:val="left" w:pos="360"/>
        </w:tabs>
        <w:autoSpaceDE w:val="0"/>
        <w:autoSpaceDN w:val="0"/>
        <w:adjustRightInd w:val="0"/>
        <w:spacing w:before="20" w:after="0" w:line="240" w:lineRule="auto"/>
        <w:ind w:right="57" w:firstLine="113"/>
        <w:jc w:val="both"/>
        <w:rPr>
          <w:rFonts w:ascii="Times New Roman" w:hAnsi="Times New Roman" w:cs="Times New Roman"/>
          <w:szCs w:val="20"/>
        </w:rPr>
      </w:pPr>
      <w:r w:rsidRPr="006912E4">
        <w:rPr>
          <w:rFonts w:ascii="Times New Roman" w:hAnsi="Times New Roman" w:cs="Times New Roman"/>
          <w:szCs w:val="20"/>
        </w:rPr>
        <w:t>Une formule d'indexation basée sur l'index ingénierie permet de faire évoluer la redevance chaque année.</w:t>
      </w:r>
    </w:p>
    <w:p w:rsidR="005869B5" w:rsidRPr="006912E4" w:rsidRDefault="005869B5" w:rsidP="006912E4">
      <w:pPr>
        <w:tabs>
          <w:tab w:val="left" w:pos="360"/>
        </w:tabs>
        <w:autoSpaceDE w:val="0"/>
        <w:autoSpaceDN w:val="0"/>
        <w:adjustRightInd w:val="0"/>
        <w:spacing w:before="20" w:after="0" w:line="240" w:lineRule="auto"/>
        <w:ind w:right="57" w:firstLine="113"/>
        <w:jc w:val="both"/>
        <w:rPr>
          <w:rFonts w:ascii="Times New Roman" w:hAnsi="Times New Roman" w:cs="Times New Roman"/>
          <w:szCs w:val="20"/>
        </w:rPr>
      </w:pPr>
      <w:r w:rsidRPr="006912E4">
        <w:rPr>
          <w:rFonts w:ascii="Times New Roman" w:hAnsi="Times New Roman" w:cs="Times New Roman"/>
          <w:szCs w:val="20"/>
        </w:rPr>
        <w:t>- PR = 153€ pour les communes dont la population est inférieure à 2000 habitants</w:t>
      </w:r>
    </w:p>
    <w:p w:rsidR="005869B5" w:rsidRPr="006912E4" w:rsidRDefault="005869B5" w:rsidP="006912E4">
      <w:pPr>
        <w:tabs>
          <w:tab w:val="left" w:pos="360"/>
        </w:tabs>
        <w:autoSpaceDE w:val="0"/>
        <w:autoSpaceDN w:val="0"/>
        <w:adjustRightInd w:val="0"/>
        <w:spacing w:before="20" w:after="0" w:line="240" w:lineRule="auto"/>
        <w:ind w:right="57" w:firstLine="113"/>
        <w:jc w:val="both"/>
        <w:rPr>
          <w:rFonts w:ascii="Times New Roman" w:hAnsi="Times New Roman" w:cs="Times New Roman"/>
          <w:szCs w:val="20"/>
        </w:rPr>
      </w:pPr>
      <w:r w:rsidRPr="006912E4">
        <w:rPr>
          <w:rFonts w:ascii="Times New Roman" w:hAnsi="Times New Roman" w:cs="Times New Roman"/>
          <w:szCs w:val="20"/>
        </w:rPr>
        <w:t>Actualisation = 1.577</w:t>
      </w:r>
    </w:p>
    <w:p w:rsidR="005869B5" w:rsidRPr="006912E4" w:rsidRDefault="005869B5" w:rsidP="006912E4">
      <w:pPr>
        <w:tabs>
          <w:tab w:val="left" w:pos="360"/>
        </w:tabs>
        <w:autoSpaceDE w:val="0"/>
        <w:autoSpaceDN w:val="0"/>
        <w:adjustRightInd w:val="0"/>
        <w:spacing w:before="20" w:after="0" w:line="240" w:lineRule="auto"/>
        <w:ind w:right="57" w:firstLine="113"/>
        <w:jc w:val="both"/>
        <w:rPr>
          <w:rFonts w:ascii="Times New Roman" w:hAnsi="Times New Roman" w:cs="Times New Roman"/>
          <w:szCs w:val="20"/>
        </w:rPr>
      </w:pPr>
      <w:r w:rsidRPr="006912E4">
        <w:rPr>
          <w:rFonts w:ascii="Times New Roman" w:hAnsi="Times New Roman" w:cs="Times New Roman"/>
          <w:szCs w:val="20"/>
        </w:rPr>
        <w:t xml:space="preserve">Le montant de la RODP de distribution d'électricité pour l'année 2025 pour la commune de </w:t>
      </w:r>
      <w:proofErr w:type="spellStart"/>
      <w:r w:rsidRPr="006912E4">
        <w:rPr>
          <w:rFonts w:ascii="Times New Roman" w:hAnsi="Times New Roman" w:cs="Times New Roman"/>
          <w:szCs w:val="20"/>
        </w:rPr>
        <w:t>Crux</w:t>
      </w:r>
      <w:proofErr w:type="spellEnd"/>
      <w:r w:rsidRPr="006912E4">
        <w:rPr>
          <w:rFonts w:ascii="Times New Roman" w:hAnsi="Times New Roman" w:cs="Times New Roman"/>
          <w:szCs w:val="20"/>
        </w:rPr>
        <w:t xml:space="preserve"> la Ville est de 241</w:t>
      </w:r>
      <w:proofErr w:type="gramStart"/>
      <w:r w:rsidRPr="006912E4">
        <w:rPr>
          <w:rFonts w:ascii="Times New Roman" w:hAnsi="Times New Roman" w:cs="Times New Roman"/>
          <w:szCs w:val="20"/>
        </w:rPr>
        <w:t>€ .</w:t>
      </w:r>
      <w:proofErr w:type="gramEnd"/>
    </w:p>
    <w:p w:rsidR="005869B5" w:rsidRPr="006912E4" w:rsidRDefault="005869B5" w:rsidP="006912E4">
      <w:pPr>
        <w:tabs>
          <w:tab w:val="left" w:pos="360"/>
        </w:tabs>
        <w:autoSpaceDE w:val="0"/>
        <w:autoSpaceDN w:val="0"/>
        <w:adjustRightInd w:val="0"/>
        <w:spacing w:before="20" w:after="0" w:line="240" w:lineRule="auto"/>
        <w:ind w:right="57" w:firstLine="113"/>
        <w:jc w:val="both"/>
        <w:rPr>
          <w:rFonts w:ascii="Times New Roman" w:hAnsi="Times New Roman" w:cs="Times New Roman"/>
          <w:szCs w:val="20"/>
        </w:rPr>
      </w:pPr>
      <w:r w:rsidRPr="006912E4">
        <w:rPr>
          <w:rFonts w:ascii="Times New Roman" w:hAnsi="Times New Roman" w:cs="Times New Roman"/>
          <w:szCs w:val="20"/>
        </w:rPr>
        <w:t>Le Conseil municipal, entendu cet exposé et après avoir délibéré :</w:t>
      </w:r>
    </w:p>
    <w:p w:rsidR="007137A7" w:rsidRPr="006912E4" w:rsidRDefault="005869B5" w:rsidP="006912E4">
      <w:pPr>
        <w:tabs>
          <w:tab w:val="left" w:pos="360"/>
        </w:tabs>
        <w:autoSpaceDE w:val="0"/>
        <w:autoSpaceDN w:val="0"/>
        <w:adjustRightInd w:val="0"/>
        <w:spacing w:before="20" w:after="0" w:line="240" w:lineRule="auto"/>
        <w:ind w:right="57"/>
        <w:jc w:val="both"/>
        <w:rPr>
          <w:rFonts w:ascii="Times New Roman" w:hAnsi="Times New Roman" w:cs="Times New Roman"/>
          <w:szCs w:val="20"/>
        </w:rPr>
      </w:pPr>
      <w:r w:rsidRPr="006912E4">
        <w:rPr>
          <w:rFonts w:ascii="Times New Roman" w:hAnsi="Times New Roman" w:cs="Times New Roman"/>
          <w:szCs w:val="20"/>
        </w:rPr>
        <w:t xml:space="preserve"> Adopte à l'unanimité les propositions qui lui sont faites concernant la redevance d'occupation du domaine public par les ouvrages d'électricité pour l'année 2025.</w:t>
      </w:r>
    </w:p>
    <w:p w:rsidR="005869B5" w:rsidRDefault="005869B5" w:rsidP="005869B5">
      <w:pPr>
        <w:tabs>
          <w:tab w:val="left" w:pos="360"/>
        </w:tabs>
        <w:autoSpaceDE w:val="0"/>
        <w:autoSpaceDN w:val="0"/>
        <w:adjustRightInd w:val="0"/>
        <w:spacing w:before="20" w:after="0" w:line="240" w:lineRule="auto"/>
        <w:ind w:right="57"/>
        <w:jc w:val="both"/>
        <w:rPr>
          <w:rFonts w:ascii="Times New Roman" w:hAnsi="Times New Roman" w:cs="Times New Roman"/>
          <w:szCs w:val="20"/>
        </w:rPr>
      </w:pPr>
    </w:p>
    <w:p w:rsidR="007137A7" w:rsidRDefault="007137A7" w:rsidP="007137A7">
      <w:pPr>
        <w:tabs>
          <w:tab w:val="left" w:pos="360"/>
        </w:tabs>
        <w:autoSpaceDE w:val="0"/>
        <w:autoSpaceDN w:val="0"/>
        <w:adjustRightInd w:val="0"/>
        <w:spacing w:before="20" w:after="0" w:line="240" w:lineRule="auto"/>
        <w:ind w:right="57"/>
        <w:jc w:val="both"/>
        <w:rPr>
          <w:rFonts w:ascii="Times New Roman" w:hAnsi="Times New Roman" w:cs="Times New Roman"/>
          <w:b/>
          <w:sz w:val="24"/>
          <w:szCs w:val="24"/>
        </w:rPr>
      </w:pPr>
      <w:r w:rsidRPr="007137A7">
        <w:rPr>
          <w:rFonts w:ascii="Times New Roman" w:hAnsi="Times New Roman" w:cs="Times New Roman"/>
          <w:b/>
          <w:sz w:val="24"/>
          <w:szCs w:val="24"/>
        </w:rPr>
        <w:t>03 - Soutien projet touristique de la commune au Merle</w:t>
      </w:r>
    </w:p>
    <w:p w:rsidR="005869B5" w:rsidRPr="006912E4" w:rsidRDefault="005869B5" w:rsidP="006912E4">
      <w:pPr>
        <w:tabs>
          <w:tab w:val="left" w:pos="284"/>
        </w:tabs>
        <w:autoSpaceDE w:val="0"/>
        <w:autoSpaceDN w:val="0"/>
        <w:adjustRightInd w:val="0"/>
        <w:spacing w:after="0" w:line="240" w:lineRule="auto"/>
        <w:ind w:firstLine="284"/>
        <w:jc w:val="both"/>
        <w:rPr>
          <w:rFonts w:ascii="Times New Roman" w:hAnsi="Times New Roman" w:cs="Times New Roman"/>
          <w:szCs w:val="20"/>
        </w:rPr>
      </w:pPr>
      <w:r w:rsidRPr="006912E4">
        <w:rPr>
          <w:rFonts w:ascii="Times New Roman" w:hAnsi="Times New Roman" w:cs="Times New Roman"/>
          <w:szCs w:val="20"/>
        </w:rPr>
        <w:t xml:space="preserve">Le Maire expose le projet de construire trois gîtes communaux aux abords de l'étang du Merle, à </w:t>
      </w:r>
      <w:proofErr w:type="spellStart"/>
      <w:r w:rsidRPr="006912E4">
        <w:rPr>
          <w:rFonts w:ascii="Times New Roman" w:hAnsi="Times New Roman" w:cs="Times New Roman"/>
          <w:szCs w:val="20"/>
        </w:rPr>
        <w:t>Crux</w:t>
      </w:r>
      <w:proofErr w:type="spellEnd"/>
      <w:r w:rsidRPr="006912E4">
        <w:rPr>
          <w:rFonts w:ascii="Times New Roman" w:hAnsi="Times New Roman" w:cs="Times New Roman"/>
          <w:szCs w:val="20"/>
        </w:rPr>
        <w:t>-la-Ville, pour venir enrichir une offre de loisirs et d'hébergement déjà dynamique, marquée par la présence d'un camping et d'équipements proposés par la mairie autour de l'étang. Ce projet s'inscrit dans une démarche d'éco-tourisme, visant à valoriser le patrimoine naturel exceptionnel de la commune tout en respectant son identité rurale.</w:t>
      </w:r>
    </w:p>
    <w:p w:rsidR="005869B5" w:rsidRPr="006912E4" w:rsidRDefault="005869B5" w:rsidP="006912E4">
      <w:pPr>
        <w:tabs>
          <w:tab w:val="left" w:pos="284"/>
        </w:tabs>
        <w:autoSpaceDE w:val="0"/>
        <w:autoSpaceDN w:val="0"/>
        <w:adjustRightInd w:val="0"/>
        <w:spacing w:after="0" w:line="240" w:lineRule="auto"/>
        <w:ind w:firstLine="284"/>
        <w:jc w:val="both"/>
        <w:rPr>
          <w:rFonts w:ascii="Times New Roman" w:hAnsi="Times New Roman" w:cs="Times New Roman"/>
          <w:szCs w:val="20"/>
        </w:rPr>
      </w:pPr>
      <w:r w:rsidRPr="006912E4">
        <w:rPr>
          <w:rFonts w:ascii="Times New Roman" w:hAnsi="Times New Roman" w:cs="Times New Roman"/>
          <w:szCs w:val="20"/>
        </w:rPr>
        <w:t>L'architecture des gîtes sera conçue pour s'intégrer en toute discrétion au paysage bucolique environnant. L'utilisation de matériaux locaux et durables, notamment par l'utilisation du bois, ainsi que des isolants écologiques, garantiront une empreinte carbone minimale. Chaque gîte sera orienté pour maximiser l'apport de lumière naturelle et offrir une vue imprenable sur l'étang, tout en préservant l'intimité des hôtes.</w:t>
      </w:r>
    </w:p>
    <w:p w:rsidR="005869B5" w:rsidRPr="006912E4" w:rsidRDefault="005869B5" w:rsidP="006912E4">
      <w:pPr>
        <w:tabs>
          <w:tab w:val="left" w:pos="284"/>
        </w:tabs>
        <w:autoSpaceDE w:val="0"/>
        <w:autoSpaceDN w:val="0"/>
        <w:adjustRightInd w:val="0"/>
        <w:spacing w:after="0" w:line="240" w:lineRule="auto"/>
        <w:ind w:firstLine="284"/>
        <w:jc w:val="both"/>
        <w:rPr>
          <w:rFonts w:ascii="Times New Roman" w:hAnsi="Times New Roman" w:cs="Times New Roman"/>
          <w:szCs w:val="20"/>
        </w:rPr>
      </w:pPr>
      <w:r w:rsidRPr="006912E4">
        <w:rPr>
          <w:rFonts w:ascii="Times New Roman" w:hAnsi="Times New Roman" w:cs="Times New Roman"/>
          <w:szCs w:val="20"/>
        </w:rPr>
        <w:t>Conçus pour accueillir environ huit personnes chacun, ces gîtes seront idéaux pour des familles ou des groupes, offrant tout le confort nécessaire pour un séjour convivial et pourront compléter l'offre de la salle des fêtes qui ne propose pas d'espace de couchages.</w:t>
      </w:r>
    </w:p>
    <w:p w:rsidR="005869B5" w:rsidRPr="006912E4" w:rsidRDefault="005869B5" w:rsidP="006912E4">
      <w:pPr>
        <w:tabs>
          <w:tab w:val="left" w:pos="284"/>
        </w:tabs>
        <w:autoSpaceDE w:val="0"/>
        <w:autoSpaceDN w:val="0"/>
        <w:adjustRightInd w:val="0"/>
        <w:spacing w:after="0" w:line="240" w:lineRule="auto"/>
        <w:ind w:firstLine="284"/>
        <w:jc w:val="both"/>
        <w:rPr>
          <w:rFonts w:ascii="Times New Roman" w:hAnsi="Times New Roman" w:cs="Times New Roman"/>
          <w:szCs w:val="20"/>
        </w:rPr>
      </w:pPr>
      <w:r w:rsidRPr="006912E4">
        <w:rPr>
          <w:rFonts w:ascii="Times New Roman" w:hAnsi="Times New Roman" w:cs="Times New Roman"/>
          <w:szCs w:val="20"/>
        </w:rPr>
        <w:t>Les équipements intérieurs, sobres et fonctionnels, refléteront une esthétique épurée et contemporaine, qui mettront à l'honneur les savoir-faire locaux. Au même titre, la réalisation de ce projet se fera avec la participation d'entreprises, situées dans un périmètre proche.</w:t>
      </w:r>
    </w:p>
    <w:p w:rsidR="006912E4" w:rsidRDefault="006912E4" w:rsidP="006912E4">
      <w:pPr>
        <w:tabs>
          <w:tab w:val="left" w:pos="284"/>
        </w:tabs>
        <w:autoSpaceDE w:val="0"/>
        <w:autoSpaceDN w:val="0"/>
        <w:adjustRightInd w:val="0"/>
        <w:spacing w:line="240" w:lineRule="auto"/>
        <w:ind w:firstLine="284"/>
        <w:jc w:val="both"/>
        <w:rPr>
          <w:rFonts w:ascii="Times New Roman" w:hAnsi="Times New Roman" w:cs="Times New Roman"/>
          <w:szCs w:val="20"/>
        </w:rPr>
      </w:pPr>
    </w:p>
    <w:p w:rsidR="006912E4" w:rsidRDefault="006912E4" w:rsidP="006912E4">
      <w:pPr>
        <w:tabs>
          <w:tab w:val="left" w:pos="284"/>
        </w:tabs>
        <w:autoSpaceDE w:val="0"/>
        <w:autoSpaceDN w:val="0"/>
        <w:adjustRightInd w:val="0"/>
        <w:spacing w:line="240" w:lineRule="auto"/>
        <w:ind w:firstLine="284"/>
        <w:jc w:val="both"/>
        <w:rPr>
          <w:rFonts w:ascii="Times New Roman" w:hAnsi="Times New Roman" w:cs="Times New Roman"/>
          <w:szCs w:val="20"/>
        </w:rPr>
      </w:pPr>
    </w:p>
    <w:p w:rsidR="005869B5" w:rsidRPr="006912E4" w:rsidRDefault="005869B5" w:rsidP="006912E4">
      <w:pPr>
        <w:tabs>
          <w:tab w:val="left" w:pos="284"/>
        </w:tabs>
        <w:autoSpaceDE w:val="0"/>
        <w:autoSpaceDN w:val="0"/>
        <w:adjustRightInd w:val="0"/>
        <w:spacing w:after="0" w:line="240" w:lineRule="auto"/>
        <w:ind w:firstLine="284"/>
        <w:jc w:val="both"/>
        <w:rPr>
          <w:rFonts w:ascii="Times New Roman" w:hAnsi="Times New Roman" w:cs="Times New Roman"/>
          <w:szCs w:val="20"/>
        </w:rPr>
      </w:pPr>
      <w:r w:rsidRPr="006912E4">
        <w:rPr>
          <w:rFonts w:ascii="Times New Roman" w:hAnsi="Times New Roman" w:cs="Times New Roman"/>
          <w:szCs w:val="20"/>
        </w:rPr>
        <w:lastRenderedPageBreak/>
        <w:t>Le projet adopte une approche globale de durabilité :</w:t>
      </w:r>
    </w:p>
    <w:p w:rsidR="005869B5" w:rsidRPr="006912E4" w:rsidRDefault="005869B5" w:rsidP="006912E4">
      <w:pPr>
        <w:tabs>
          <w:tab w:val="left" w:pos="284"/>
        </w:tabs>
        <w:autoSpaceDE w:val="0"/>
        <w:autoSpaceDN w:val="0"/>
        <w:adjustRightInd w:val="0"/>
        <w:spacing w:after="0" w:line="240" w:lineRule="auto"/>
        <w:ind w:left="720" w:hanging="360"/>
        <w:jc w:val="both"/>
        <w:rPr>
          <w:rFonts w:ascii="Times New Roman" w:hAnsi="Times New Roman" w:cs="Times New Roman"/>
          <w:szCs w:val="20"/>
        </w:rPr>
      </w:pPr>
      <w:r>
        <w:rPr>
          <w:rFonts w:ascii="Symbol" w:hAnsi="Symbol" w:cs="Symbol"/>
          <w:sz w:val="20"/>
          <w:szCs w:val="20"/>
        </w:rPr>
        <w:t></w:t>
      </w:r>
      <w:r>
        <w:rPr>
          <w:rFonts w:ascii="Symbol" w:hAnsi="Symbol" w:cs="Symbol"/>
          <w:sz w:val="20"/>
          <w:szCs w:val="20"/>
        </w:rPr>
        <w:t></w:t>
      </w:r>
      <w:r w:rsidRPr="006912E4">
        <w:rPr>
          <w:rFonts w:ascii="Times New Roman" w:hAnsi="Times New Roman" w:cs="Times New Roman"/>
          <w:szCs w:val="20"/>
        </w:rPr>
        <w:t>Gestion des ressources naturelles : utilisation de l'énergie solaire pour le chauffage de l'eau et l'éclairage, système de récupération des eaux de pluie pour l'irrigation des espaces verts.</w:t>
      </w:r>
    </w:p>
    <w:p w:rsidR="005869B5" w:rsidRPr="006912E4" w:rsidRDefault="005869B5" w:rsidP="006912E4">
      <w:pPr>
        <w:tabs>
          <w:tab w:val="left" w:pos="284"/>
        </w:tabs>
        <w:autoSpaceDE w:val="0"/>
        <w:autoSpaceDN w:val="0"/>
        <w:adjustRightInd w:val="0"/>
        <w:spacing w:after="0" w:line="240" w:lineRule="auto"/>
        <w:ind w:left="720" w:hanging="360"/>
        <w:jc w:val="both"/>
        <w:rPr>
          <w:rFonts w:ascii="Times New Roman" w:hAnsi="Times New Roman" w:cs="Times New Roman"/>
          <w:szCs w:val="20"/>
        </w:rPr>
      </w:pPr>
      <w:r w:rsidRPr="006912E4">
        <w:rPr>
          <w:rFonts w:ascii="Times New Roman" w:hAnsi="Times New Roman" w:cs="Times New Roman"/>
          <w:szCs w:val="20"/>
        </w:rPr>
        <w:t>· Réduction des déchets : tri sélectif facilité pour les usagers, choix d'équipements durables et réparables.</w:t>
      </w:r>
    </w:p>
    <w:p w:rsidR="005869B5" w:rsidRPr="006912E4" w:rsidRDefault="005869B5" w:rsidP="006912E4">
      <w:pPr>
        <w:tabs>
          <w:tab w:val="left" w:pos="284"/>
        </w:tabs>
        <w:autoSpaceDE w:val="0"/>
        <w:autoSpaceDN w:val="0"/>
        <w:adjustRightInd w:val="0"/>
        <w:spacing w:after="0" w:line="240" w:lineRule="auto"/>
        <w:ind w:left="720" w:hanging="360"/>
        <w:jc w:val="both"/>
        <w:rPr>
          <w:rFonts w:ascii="Times New Roman" w:hAnsi="Times New Roman" w:cs="Times New Roman"/>
          <w:szCs w:val="20"/>
        </w:rPr>
      </w:pPr>
      <w:r w:rsidRPr="006912E4">
        <w:rPr>
          <w:rFonts w:ascii="Times New Roman" w:hAnsi="Times New Roman" w:cs="Times New Roman"/>
          <w:szCs w:val="20"/>
        </w:rPr>
        <w:t xml:space="preserve">· Respect de la biodiversité : préservation des haies, implantation de nichoirs et choix de plantations favorisant les pollinisateurs. </w:t>
      </w:r>
    </w:p>
    <w:p w:rsidR="005869B5" w:rsidRPr="006912E4" w:rsidRDefault="005869B5" w:rsidP="006912E4">
      <w:pPr>
        <w:tabs>
          <w:tab w:val="left" w:pos="284"/>
        </w:tabs>
        <w:autoSpaceDE w:val="0"/>
        <w:autoSpaceDN w:val="0"/>
        <w:adjustRightInd w:val="0"/>
        <w:spacing w:line="240" w:lineRule="auto"/>
        <w:ind w:left="720" w:hanging="360"/>
        <w:jc w:val="both"/>
        <w:rPr>
          <w:rFonts w:ascii="Times New Roman" w:hAnsi="Times New Roman" w:cs="Times New Roman"/>
          <w:szCs w:val="20"/>
        </w:rPr>
      </w:pPr>
      <w:r w:rsidRPr="006912E4">
        <w:rPr>
          <w:rFonts w:ascii="Times New Roman" w:hAnsi="Times New Roman" w:cs="Times New Roman"/>
          <w:szCs w:val="20"/>
        </w:rPr>
        <w:t>· Préservation des sols : artificialisation des sols réduite au minimum, notamment par la création de voiries et de cheminements en surfaces perméables.</w:t>
      </w:r>
    </w:p>
    <w:p w:rsidR="005869B5" w:rsidRPr="006912E4" w:rsidRDefault="005869B5" w:rsidP="003D090F">
      <w:pPr>
        <w:tabs>
          <w:tab w:val="left" w:pos="284"/>
        </w:tabs>
        <w:autoSpaceDE w:val="0"/>
        <w:autoSpaceDN w:val="0"/>
        <w:adjustRightInd w:val="0"/>
        <w:spacing w:after="0" w:line="240" w:lineRule="auto"/>
        <w:jc w:val="both"/>
        <w:rPr>
          <w:rFonts w:ascii="Times New Roman" w:hAnsi="Times New Roman" w:cs="Times New Roman"/>
          <w:szCs w:val="20"/>
        </w:rPr>
      </w:pPr>
      <w:r w:rsidRPr="006912E4">
        <w:rPr>
          <w:rFonts w:ascii="Times New Roman" w:hAnsi="Times New Roman" w:cs="Times New Roman"/>
          <w:szCs w:val="20"/>
        </w:rPr>
        <w:t>En complément des activités existantes (randonnées, sports nautiques, aire de jeux), les gîtes offriront une expérience unique. Chaque hôte pourra profiter d'un cadre authentique et apaisant, idéal pour se reconnecter à la nature. Des partenariats avec des producteurs locaux permettront de proposer des paniers d'accueil composés de produits du terroir, renforçant l'ancrage du projet dans l'économie locale.</w:t>
      </w:r>
    </w:p>
    <w:p w:rsidR="005869B5" w:rsidRPr="006912E4" w:rsidRDefault="005869B5" w:rsidP="003D090F">
      <w:pPr>
        <w:tabs>
          <w:tab w:val="left" w:pos="284"/>
        </w:tabs>
        <w:autoSpaceDE w:val="0"/>
        <w:autoSpaceDN w:val="0"/>
        <w:adjustRightInd w:val="0"/>
        <w:spacing w:after="0" w:line="240" w:lineRule="auto"/>
        <w:jc w:val="both"/>
        <w:rPr>
          <w:rFonts w:ascii="Times New Roman" w:hAnsi="Times New Roman" w:cs="Times New Roman"/>
          <w:szCs w:val="20"/>
        </w:rPr>
      </w:pPr>
      <w:r w:rsidRPr="006912E4">
        <w:rPr>
          <w:rFonts w:ascii="Times New Roman" w:hAnsi="Times New Roman" w:cs="Times New Roman"/>
          <w:szCs w:val="20"/>
        </w:rPr>
        <w:t xml:space="preserve">Dans le respect du patrimoine rural de </w:t>
      </w:r>
      <w:proofErr w:type="spellStart"/>
      <w:r w:rsidRPr="006912E4">
        <w:rPr>
          <w:rFonts w:ascii="Times New Roman" w:hAnsi="Times New Roman" w:cs="Times New Roman"/>
          <w:szCs w:val="20"/>
        </w:rPr>
        <w:t>Crux</w:t>
      </w:r>
      <w:proofErr w:type="spellEnd"/>
      <w:r w:rsidRPr="006912E4">
        <w:rPr>
          <w:rFonts w:ascii="Times New Roman" w:hAnsi="Times New Roman" w:cs="Times New Roman"/>
          <w:szCs w:val="20"/>
        </w:rPr>
        <w:t>-la-Ville, les volumes des gîtes s'inspireront de l'architecture vernaculaire et des bâtisses traditionnelles, tout en adoptant une interprétation résolument contemporaine. Cette double approche offre une harmonie visuelle et permet au projet de dialoguer avec l'environnement existant sans le dénaturer.</w:t>
      </w:r>
    </w:p>
    <w:p w:rsidR="005869B5" w:rsidRPr="006912E4" w:rsidRDefault="005869B5" w:rsidP="003D090F">
      <w:pPr>
        <w:tabs>
          <w:tab w:val="left" w:pos="284"/>
        </w:tabs>
        <w:autoSpaceDE w:val="0"/>
        <w:autoSpaceDN w:val="0"/>
        <w:adjustRightInd w:val="0"/>
        <w:spacing w:after="0" w:line="240" w:lineRule="auto"/>
        <w:jc w:val="both"/>
        <w:rPr>
          <w:rFonts w:ascii="Times New Roman" w:hAnsi="Times New Roman" w:cs="Times New Roman"/>
          <w:szCs w:val="20"/>
        </w:rPr>
      </w:pPr>
      <w:r w:rsidRPr="006912E4">
        <w:rPr>
          <w:rFonts w:ascii="Times New Roman" w:hAnsi="Times New Roman" w:cs="Times New Roman"/>
          <w:szCs w:val="20"/>
        </w:rPr>
        <w:t xml:space="preserve"> Ces trois gîtes, à la fois innovants et respectueux, illustrent la volonté de </w:t>
      </w:r>
      <w:proofErr w:type="spellStart"/>
      <w:r w:rsidRPr="006912E4">
        <w:rPr>
          <w:rFonts w:ascii="Times New Roman" w:hAnsi="Times New Roman" w:cs="Times New Roman"/>
          <w:szCs w:val="20"/>
        </w:rPr>
        <w:t>Crux</w:t>
      </w:r>
      <w:proofErr w:type="spellEnd"/>
      <w:r w:rsidRPr="006912E4">
        <w:rPr>
          <w:rFonts w:ascii="Times New Roman" w:hAnsi="Times New Roman" w:cs="Times New Roman"/>
          <w:szCs w:val="20"/>
        </w:rPr>
        <w:t>-la-Ville de s'affirmer comme une destination à la pointe de l'éco-tourisme. Ils renforceront l'attractivité de la commune, bénéficiant tant aux visiteurs qu'à la population locale.</w:t>
      </w:r>
    </w:p>
    <w:p w:rsidR="00102754" w:rsidRPr="006912E4" w:rsidRDefault="005869B5" w:rsidP="006912E4">
      <w:pPr>
        <w:tabs>
          <w:tab w:val="left" w:pos="360"/>
        </w:tabs>
        <w:autoSpaceDE w:val="0"/>
        <w:autoSpaceDN w:val="0"/>
        <w:adjustRightInd w:val="0"/>
        <w:spacing w:before="20" w:after="0" w:line="240" w:lineRule="auto"/>
        <w:ind w:right="57"/>
        <w:jc w:val="both"/>
        <w:rPr>
          <w:rFonts w:ascii="Times New Roman" w:hAnsi="Times New Roman" w:cs="Times New Roman"/>
          <w:szCs w:val="20"/>
        </w:rPr>
      </w:pPr>
      <w:r w:rsidRPr="006912E4">
        <w:rPr>
          <w:rFonts w:ascii="Times New Roman" w:hAnsi="Times New Roman" w:cs="Times New Roman"/>
          <w:szCs w:val="20"/>
        </w:rPr>
        <w:t xml:space="preserve"> Le Conseil Municipal, après en avoir délibéré, vote à l'unanimité, en faveur du soutien au projet touristique énoncé ci-dessus.</w:t>
      </w:r>
    </w:p>
    <w:p w:rsidR="005869B5" w:rsidRDefault="005869B5" w:rsidP="005869B5">
      <w:pPr>
        <w:tabs>
          <w:tab w:val="left" w:pos="360"/>
        </w:tabs>
        <w:autoSpaceDE w:val="0"/>
        <w:autoSpaceDN w:val="0"/>
        <w:adjustRightInd w:val="0"/>
        <w:spacing w:before="20" w:after="0" w:line="240" w:lineRule="auto"/>
        <w:ind w:right="57"/>
        <w:jc w:val="both"/>
        <w:rPr>
          <w:rFonts w:ascii="Times New Roman" w:hAnsi="Times New Roman" w:cs="Times New Roman"/>
        </w:rPr>
      </w:pPr>
    </w:p>
    <w:p w:rsidR="00102754" w:rsidRDefault="00102754" w:rsidP="007137A7">
      <w:pPr>
        <w:tabs>
          <w:tab w:val="left" w:pos="360"/>
        </w:tabs>
        <w:autoSpaceDE w:val="0"/>
        <w:autoSpaceDN w:val="0"/>
        <w:adjustRightInd w:val="0"/>
        <w:spacing w:before="20" w:after="0" w:line="240" w:lineRule="auto"/>
        <w:ind w:right="57"/>
        <w:jc w:val="both"/>
        <w:rPr>
          <w:rFonts w:ascii="Times New Roman" w:hAnsi="Times New Roman" w:cs="Times New Roman"/>
          <w:b/>
          <w:sz w:val="24"/>
          <w:szCs w:val="24"/>
        </w:rPr>
      </w:pPr>
      <w:r w:rsidRPr="00102754">
        <w:rPr>
          <w:rFonts w:ascii="Times New Roman" w:hAnsi="Times New Roman" w:cs="Times New Roman"/>
          <w:b/>
          <w:sz w:val="24"/>
          <w:szCs w:val="24"/>
        </w:rPr>
        <w:t xml:space="preserve">04 - Renouvellement convention avec le cabinet vétérinaire de Saint </w:t>
      </w:r>
      <w:proofErr w:type="spellStart"/>
      <w:r w:rsidRPr="00102754">
        <w:rPr>
          <w:rFonts w:ascii="Times New Roman" w:hAnsi="Times New Roman" w:cs="Times New Roman"/>
          <w:b/>
          <w:sz w:val="24"/>
          <w:szCs w:val="24"/>
        </w:rPr>
        <w:t>Saulge</w:t>
      </w:r>
      <w:proofErr w:type="spellEnd"/>
      <w:r w:rsidRPr="00102754">
        <w:rPr>
          <w:rFonts w:ascii="Times New Roman" w:hAnsi="Times New Roman" w:cs="Times New Roman"/>
          <w:b/>
          <w:sz w:val="24"/>
          <w:szCs w:val="24"/>
        </w:rPr>
        <w:t xml:space="preserve"> en 2025</w:t>
      </w:r>
    </w:p>
    <w:p w:rsidR="00102754" w:rsidRPr="003D090F" w:rsidRDefault="005869B5" w:rsidP="007137A7">
      <w:pPr>
        <w:tabs>
          <w:tab w:val="left" w:pos="360"/>
        </w:tabs>
        <w:autoSpaceDE w:val="0"/>
        <w:autoSpaceDN w:val="0"/>
        <w:adjustRightInd w:val="0"/>
        <w:spacing w:before="20" w:after="0" w:line="240" w:lineRule="auto"/>
        <w:ind w:right="57"/>
        <w:jc w:val="both"/>
        <w:rPr>
          <w:rFonts w:ascii="Times New Roman" w:hAnsi="Times New Roman" w:cs="Times New Roman"/>
          <w:szCs w:val="20"/>
        </w:rPr>
      </w:pPr>
      <w:r w:rsidRPr="003D090F">
        <w:rPr>
          <w:rFonts w:ascii="Times New Roman" w:hAnsi="Times New Roman" w:cs="Times New Roman"/>
          <w:szCs w:val="20"/>
        </w:rPr>
        <w:t>Le Conseil municipal, après en avoir délibéré, décide à l'unanimité, de renouveler p</w:t>
      </w:r>
      <w:r w:rsidR="003D090F">
        <w:rPr>
          <w:rFonts w:ascii="Times New Roman" w:hAnsi="Times New Roman" w:cs="Times New Roman"/>
          <w:szCs w:val="20"/>
        </w:rPr>
        <w:t>our l'année 2025, la convention</w:t>
      </w:r>
      <w:r w:rsidRPr="003D090F">
        <w:rPr>
          <w:rFonts w:ascii="Times New Roman" w:hAnsi="Times New Roman" w:cs="Times New Roman"/>
          <w:szCs w:val="20"/>
        </w:rPr>
        <w:t xml:space="preserve"> avec le Cabinet vétérinaire </w:t>
      </w:r>
      <w:r w:rsidR="003D090F" w:rsidRPr="003D090F">
        <w:rPr>
          <w:rFonts w:ascii="Times New Roman" w:hAnsi="Times New Roman" w:cs="Times New Roman"/>
          <w:szCs w:val="20"/>
        </w:rPr>
        <w:t>Cœur</w:t>
      </w:r>
      <w:r w:rsidRPr="003D090F">
        <w:rPr>
          <w:rFonts w:ascii="Times New Roman" w:hAnsi="Times New Roman" w:cs="Times New Roman"/>
          <w:szCs w:val="20"/>
        </w:rPr>
        <w:t xml:space="preserve"> de Nièvre, pour la prise en charge des animaux errants blessés, pendant les périodes de fermeture de la fourrière départementale, dans les conditions spécifiquement définies dans ladite convention.</w:t>
      </w:r>
    </w:p>
    <w:p w:rsidR="00102754" w:rsidRDefault="00102754" w:rsidP="007137A7">
      <w:pPr>
        <w:tabs>
          <w:tab w:val="left" w:pos="360"/>
        </w:tabs>
        <w:autoSpaceDE w:val="0"/>
        <w:autoSpaceDN w:val="0"/>
        <w:adjustRightInd w:val="0"/>
        <w:spacing w:before="20" w:after="0" w:line="240" w:lineRule="auto"/>
        <w:ind w:right="57"/>
        <w:jc w:val="both"/>
        <w:rPr>
          <w:rFonts w:ascii="Times New Roman" w:hAnsi="Times New Roman" w:cs="Times New Roman"/>
        </w:rPr>
      </w:pPr>
    </w:p>
    <w:p w:rsidR="00102754" w:rsidRDefault="00102754" w:rsidP="007137A7">
      <w:pPr>
        <w:tabs>
          <w:tab w:val="left" w:pos="360"/>
        </w:tabs>
        <w:autoSpaceDE w:val="0"/>
        <w:autoSpaceDN w:val="0"/>
        <w:adjustRightInd w:val="0"/>
        <w:spacing w:before="20" w:after="0" w:line="240" w:lineRule="auto"/>
        <w:ind w:right="57"/>
        <w:jc w:val="both"/>
        <w:rPr>
          <w:rFonts w:ascii="Times New Roman" w:hAnsi="Times New Roman" w:cs="Times New Roman"/>
          <w:b/>
          <w:sz w:val="24"/>
          <w:szCs w:val="24"/>
        </w:rPr>
      </w:pPr>
      <w:r w:rsidRPr="00102754">
        <w:rPr>
          <w:rFonts w:ascii="Times New Roman" w:hAnsi="Times New Roman" w:cs="Times New Roman"/>
          <w:b/>
          <w:sz w:val="24"/>
          <w:szCs w:val="24"/>
        </w:rPr>
        <w:t>05 - Procédure d'expulsion : désignation d'un avocat</w:t>
      </w:r>
    </w:p>
    <w:p w:rsidR="005869B5" w:rsidRPr="003D090F" w:rsidRDefault="005869B5" w:rsidP="005869B5">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 xml:space="preserve">Le Maire expose la synthèse de Maître Poncet-Père qui a procédé à l'envoi d'une sommation de quitter les lieux à M </w:t>
      </w:r>
      <w:proofErr w:type="spellStart"/>
      <w:r w:rsidRPr="003D090F">
        <w:rPr>
          <w:rFonts w:ascii="Times New Roman" w:hAnsi="Times New Roman" w:cs="Times New Roman"/>
          <w:szCs w:val="20"/>
        </w:rPr>
        <w:t>Louvrier</w:t>
      </w:r>
      <w:proofErr w:type="spellEnd"/>
      <w:r w:rsidRPr="003D090F">
        <w:rPr>
          <w:rFonts w:ascii="Times New Roman" w:hAnsi="Times New Roman" w:cs="Times New Roman"/>
          <w:szCs w:val="20"/>
        </w:rPr>
        <w:t xml:space="preserve">, et qui a constaté, une fois le délai imparti, que M </w:t>
      </w:r>
      <w:proofErr w:type="spellStart"/>
      <w:r w:rsidRPr="003D090F">
        <w:rPr>
          <w:rFonts w:ascii="Times New Roman" w:hAnsi="Times New Roman" w:cs="Times New Roman"/>
          <w:szCs w:val="20"/>
        </w:rPr>
        <w:t>Louvrier</w:t>
      </w:r>
      <w:proofErr w:type="spellEnd"/>
      <w:r w:rsidRPr="003D090F">
        <w:rPr>
          <w:rFonts w:ascii="Times New Roman" w:hAnsi="Times New Roman" w:cs="Times New Roman"/>
          <w:szCs w:val="20"/>
        </w:rPr>
        <w:t xml:space="preserve"> occupe toujours les locaux.</w:t>
      </w:r>
    </w:p>
    <w:p w:rsidR="005869B5" w:rsidRPr="003D090F" w:rsidRDefault="005869B5" w:rsidP="005869B5">
      <w:pPr>
        <w:tabs>
          <w:tab w:val="left" w:pos="360"/>
        </w:tabs>
        <w:autoSpaceDE w:val="0"/>
        <w:autoSpaceDN w:val="0"/>
        <w:adjustRightInd w:val="0"/>
        <w:spacing w:before="20" w:after="0" w:line="240" w:lineRule="auto"/>
        <w:ind w:right="57"/>
        <w:jc w:val="both"/>
        <w:rPr>
          <w:rFonts w:ascii="Times New Roman" w:hAnsi="Times New Roman" w:cs="Times New Roman"/>
          <w:szCs w:val="20"/>
        </w:rPr>
      </w:pPr>
      <w:r w:rsidRPr="003D090F">
        <w:rPr>
          <w:rFonts w:ascii="Times New Roman" w:hAnsi="Times New Roman" w:cs="Times New Roman"/>
          <w:szCs w:val="20"/>
        </w:rPr>
        <w:t xml:space="preserve">Considérant la nécessite de désigner un avocat chargé de représenter les intérêts de la commune dans cette affaire, le Conseil Municipal décide, à l'unanimité des membres présents et représentés, de désigner le cabinet SCP GUENOT AVOCATS ET ASSOCIES, 2 Place de l'Hôtel de Ville, BP 435, 58004 NEVERS, pour représenter la Commune de </w:t>
      </w:r>
      <w:proofErr w:type="spellStart"/>
      <w:r w:rsidRPr="003D090F">
        <w:rPr>
          <w:rFonts w:ascii="Times New Roman" w:hAnsi="Times New Roman" w:cs="Times New Roman"/>
          <w:szCs w:val="20"/>
        </w:rPr>
        <w:t>Crux</w:t>
      </w:r>
      <w:proofErr w:type="spellEnd"/>
      <w:r w:rsidRPr="003D090F">
        <w:rPr>
          <w:rFonts w:ascii="Times New Roman" w:hAnsi="Times New Roman" w:cs="Times New Roman"/>
          <w:szCs w:val="20"/>
        </w:rPr>
        <w:t xml:space="preserve"> la Ville dans l'ensemble de la procédure à suivre devant les juridictions administratives, dans le cadre d'une expulsion locative.</w:t>
      </w:r>
    </w:p>
    <w:p w:rsidR="005869B5" w:rsidRDefault="005869B5" w:rsidP="005869B5">
      <w:pPr>
        <w:tabs>
          <w:tab w:val="left" w:pos="360"/>
        </w:tabs>
        <w:autoSpaceDE w:val="0"/>
        <w:autoSpaceDN w:val="0"/>
        <w:adjustRightInd w:val="0"/>
        <w:spacing w:before="20" w:after="0" w:line="240" w:lineRule="auto"/>
        <w:ind w:right="57"/>
        <w:jc w:val="both"/>
        <w:rPr>
          <w:rFonts w:ascii="Calibri" w:hAnsi="Calibri" w:cs="Calibri"/>
        </w:rPr>
      </w:pPr>
    </w:p>
    <w:p w:rsidR="00102754" w:rsidRPr="00A744A3" w:rsidRDefault="00102754" w:rsidP="005869B5">
      <w:pPr>
        <w:tabs>
          <w:tab w:val="left" w:pos="360"/>
        </w:tabs>
        <w:autoSpaceDE w:val="0"/>
        <w:autoSpaceDN w:val="0"/>
        <w:adjustRightInd w:val="0"/>
        <w:spacing w:before="20" w:after="0" w:line="240" w:lineRule="auto"/>
        <w:ind w:right="57"/>
        <w:jc w:val="both"/>
        <w:rPr>
          <w:rFonts w:ascii="Times New Roman" w:hAnsi="Times New Roman" w:cs="Times New Roman"/>
          <w:b/>
          <w:sz w:val="24"/>
          <w:szCs w:val="24"/>
        </w:rPr>
      </w:pPr>
      <w:r w:rsidRPr="00A744A3">
        <w:rPr>
          <w:rFonts w:ascii="Times New Roman" w:hAnsi="Times New Roman" w:cs="Times New Roman"/>
          <w:b/>
          <w:sz w:val="24"/>
          <w:szCs w:val="24"/>
        </w:rPr>
        <w:t xml:space="preserve">06 - </w:t>
      </w:r>
      <w:r w:rsidR="00A744A3" w:rsidRPr="00A744A3">
        <w:rPr>
          <w:rFonts w:ascii="Times New Roman" w:hAnsi="Times New Roman" w:cs="Times New Roman"/>
          <w:b/>
          <w:sz w:val="24"/>
          <w:szCs w:val="24"/>
        </w:rPr>
        <w:t xml:space="preserve">Demande de subvention par le Maison Rurale de l'Anse "La Petite </w:t>
      </w:r>
      <w:proofErr w:type="spellStart"/>
      <w:r w:rsidR="00A744A3" w:rsidRPr="00A744A3">
        <w:rPr>
          <w:rFonts w:ascii="Times New Roman" w:hAnsi="Times New Roman" w:cs="Times New Roman"/>
          <w:b/>
          <w:sz w:val="24"/>
          <w:szCs w:val="24"/>
        </w:rPr>
        <w:t>Gonthière</w:t>
      </w:r>
      <w:proofErr w:type="spellEnd"/>
      <w:r w:rsidR="00A744A3" w:rsidRPr="00A744A3">
        <w:rPr>
          <w:rFonts w:ascii="Times New Roman" w:hAnsi="Times New Roman" w:cs="Times New Roman"/>
          <w:b/>
          <w:sz w:val="24"/>
          <w:szCs w:val="24"/>
        </w:rPr>
        <w:t>"</w:t>
      </w:r>
    </w:p>
    <w:p w:rsidR="005869B5" w:rsidRPr="003D090F" w:rsidRDefault="005869B5" w:rsidP="003D090F">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 xml:space="preserve">La Maison Rurale de Anse "La Petite </w:t>
      </w:r>
      <w:proofErr w:type="spellStart"/>
      <w:r w:rsidRPr="003D090F">
        <w:rPr>
          <w:rFonts w:ascii="Times New Roman" w:hAnsi="Times New Roman" w:cs="Times New Roman"/>
          <w:szCs w:val="20"/>
        </w:rPr>
        <w:t>Gonthière</w:t>
      </w:r>
      <w:proofErr w:type="spellEnd"/>
      <w:r w:rsidRPr="003D090F">
        <w:rPr>
          <w:rFonts w:ascii="Times New Roman" w:hAnsi="Times New Roman" w:cs="Times New Roman"/>
          <w:szCs w:val="20"/>
        </w:rPr>
        <w:t>", établissement dans lequel est scolarisé Antoine Figaro, sollicite la commune pour l'attribution d'une subvention visant à soutenir les dépenses de l'école.</w:t>
      </w:r>
    </w:p>
    <w:p w:rsidR="005869B5" w:rsidRPr="003D090F" w:rsidRDefault="005869B5" w:rsidP="003D090F">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 xml:space="preserve">Le conseil municipal à l'unanimité décide d'attribuer à la Maison Rurale une subvention de 50€ pour cet élève domicilié à </w:t>
      </w:r>
      <w:proofErr w:type="spellStart"/>
      <w:r w:rsidRPr="003D090F">
        <w:rPr>
          <w:rFonts w:ascii="Times New Roman" w:hAnsi="Times New Roman" w:cs="Times New Roman"/>
          <w:szCs w:val="20"/>
        </w:rPr>
        <w:t>Crux</w:t>
      </w:r>
      <w:proofErr w:type="spellEnd"/>
      <w:r w:rsidRPr="003D090F">
        <w:rPr>
          <w:rFonts w:ascii="Times New Roman" w:hAnsi="Times New Roman" w:cs="Times New Roman"/>
          <w:szCs w:val="20"/>
        </w:rPr>
        <w:t xml:space="preserve"> la Ville.</w:t>
      </w:r>
    </w:p>
    <w:p w:rsidR="005869B5" w:rsidRPr="003D090F" w:rsidRDefault="005869B5" w:rsidP="005869B5">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Cette subvention sera inscrit</w:t>
      </w:r>
      <w:r w:rsidR="003D090F">
        <w:rPr>
          <w:rFonts w:ascii="Times New Roman" w:hAnsi="Times New Roman" w:cs="Times New Roman"/>
          <w:szCs w:val="20"/>
        </w:rPr>
        <w:t>e</w:t>
      </w:r>
      <w:r w:rsidRPr="003D090F">
        <w:rPr>
          <w:rFonts w:ascii="Times New Roman" w:hAnsi="Times New Roman" w:cs="Times New Roman"/>
          <w:szCs w:val="20"/>
        </w:rPr>
        <w:t xml:space="preserve"> au budget primitif 2025.</w:t>
      </w:r>
    </w:p>
    <w:p w:rsidR="005869B5" w:rsidRDefault="005869B5" w:rsidP="005869B5">
      <w:pPr>
        <w:autoSpaceDE w:val="0"/>
        <w:autoSpaceDN w:val="0"/>
        <w:adjustRightInd w:val="0"/>
        <w:spacing w:after="0" w:line="240" w:lineRule="auto"/>
        <w:jc w:val="both"/>
        <w:rPr>
          <w:rFonts w:ascii="Calibri" w:hAnsi="Calibri" w:cs="Calibri"/>
        </w:rPr>
      </w:pPr>
    </w:p>
    <w:p w:rsidR="00A744A3" w:rsidRPr="00B726F3" w:rsidRDefault="00A744A3" w:rsidP="005869B5">
      <w:pPr>
        <w:autoSpaceDE w:val="0"/>
        <w:autoSpaceDN w:val="0"/>
        <w:adjustRightInd w:val="0"/>
        <w:spacing w:after="0" w:line="240" w:lineRule="auto"/>
        <w:jc w:val="both"/>
        <w:rPr>
          <w:rFonts w:ascii="Times New Roman" w:hAnsi="Times New Roman" w:cs="Times New Roman"/>
          <w:b/>
          <w:sz w:val="24"/>
          <w:szCs w:val="24"/>
        </w:rPr>
      </w:pPr>
      <w:r w:rsidRPr="00B726F3">
        <w:rPr>
          <w:rFonts w:ascii="Times New Roman" w:hAnsi="Times New Roman" w:cs="Times New Roman"/>
          <w:b/>
          <w:sz w:val="24"/>
          <w:szCs w:val="24"/>
        </w:rPr>
        <w:t xml:space="preserve">07 - </w:t>
      </w:r>
      <w:r w:rsidR="00B726F3" w:rsidRPr="00B726F3">
        <w:rPr>
          <w:rFonts w:ascii="Times New Roman" w:hAnsi="Times New Roman" w:cs="Times New Roman"/>
          <w:b/>
          <w:sz w:val="24"/>
          <w:szCs w:val="24"/>
        </w:rPr>
        <w:t xml:space="preserve">Demande soutien financier par </w:t>
      </w:r>
      <w:proofErr w:type="spellStart"/>
      <w:r w:rsidR="00B726F3" w:rsidRPr="00B726F3">
        <w:rPr>
          <w:rFonts w:ascii="Times New Roman" w:hAnsi="Times New Roman" w:cs="Times New Roman"/>
          <w:b/>
          <w:sz w:val="24"/>
          <w:szCs w:val="24"/>
        </w:rPr>
        <w:t>Sceni</w:t>
      </w:r>
      <w:proofErr w:type="spellEnd"/>
      <w:r w:rsidR="00B726F3" w:rsidRPr="00B726F3">
        <w:rPr>
          <w:rFonts w:ascii="Times New Roman" w:hAnsi="Times New Roman" w:cs="Times New Roman"/>
          <w:b/>
          <w:sz w:val="24"/>
          <w:szCs w:val="24"/>
        </w:rPr>
        <w:t xml:space="preserve"> Qua Non pour renouvellement matériel et modernisation</w:t>
      </w:r>
    </w:p>
    <w:p w:rsidR="005869B5" w:rsidRPr="003D090F" w:rsidRDefault="005869B5" w:rsidP="005869B5">
      <w:pPr>
        <w:autoSpaceDE w:val="0"/>
        <w:autoSpaceDN w:val="0"/>
        <w:adjustRightInd w:val="0"/>
        <w:spacing w:line="240" w:lineRule="auto"/>
        <w:jc w:val="both"/>
        <w:rPr>
          <w:rFonts w:ascii="Times New Roman" w:hAnsi="Times New Roman" w:cs="Times New Roman"/>
          <w:szCs w:val="20"/>
        </w:rPr>
      </w:pPr>
      <w:proofErr w:type="spellStart"/>
      <w:r w:rsidRPr="003D090F">
        <w:rPr>
          <w:rFonts w:ascii="Times New Roman" w:hAnsi="Times New Roman" w:cs="Times New Roman"/>
          <w:szCs w:val="20"/>
        </w:rPr>
        <w:t>Sceni</w:t>
      </w:r>
      <w:proofErr w:type="spellEnd"/>
      <w:r w:rsidRPr="003D090F">
        <w:rPr>
          <w:rFonts w:ascii="Times New Roman" w:hAnsi="Times New Roman" w:cs="Times New Roman"/>
          <w:szCs w:val="20"/>
        </w:rPr>
        <w:t xml:space="preserve"> Qua Non sollicite la commune de </w:t>
      </w:r>
      <w:proofErr w:type="spellStart"/>
      <w:r w:rsidRPr="003D090F">
        <w:rPr>
          <w:rFonts w:ascii="Times New Roman" w:hAnsi="Times New Roman" w:cs="Times New Roman"/>
          <w:szCs w:val="20"/>
        </w:rPr>
        <w:t>Crux</w:t>
      </w:r>
      <w:proofErr w:type="spellEnd"/>
      <w:r w:rsidRPr="003D090F">
        <w:rPr>
          <w:rFonts w:ascii="Times New Roman" w:hAnsi="Times New Roman" w:cs="Times New Roman"/>
          <w:szCs w:val="20"/>
        </w:rPr>
        <w:t xml:space="preserve"> la Ville, qui fait partie de son circuit itinérant, et demande une aide sélective à la modernisation pour le Circuit Itinérant de la Nièvre - Printemps de la ruralité - CNC - 2025.</w:t>
      </w:r>
    </w:p>
    <w:p w:rsidR="005869B5" w:rsidRPr="003D090F" w:rsidRDefault="005869B5" w:rsidP="003D090F">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lastRenderedPageBreak/>
        <w:t xml:space="preserve">Le conseil municipal à l'unanimité décide d'attribuer à l'Association </w:t>
      </w:r>
      <w:proofErr w:type="spellStart"/>
      <w:r w:rsidRPr="003D090F">
        <w:rPr>
          <w:rFonts w:ascii="Times New Roman" w:hAnsi="Times New Roman" w:cs="Times New Roman"/>
          <w:szCs w:val="20"/>
        </w:rPr>
        <w:t>Sceni</w:t>
      </w:r>
      <w:proofErr w:type="spellEnd"/>
      <w:r w:rsidRPr="003D090F">
        <w:rPr>
          <w:rFonts w:ascii="Times New Roman" w:hAnsi="Times New Roman" w:cs="Times New Roman"/>
          <w:szCs w:val="20"/>
        </w:rPr>
        <w:t xml:space="preserve"> Qua Non, une subvention de 440€.</w:t>
      </w:r>
    </w:p>
    <w:p w:rsidR="005869B5" w:rsidRPr="003D090F" w:rsidRDefault="005869B5" w:rsidP="003D090F">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Cette subvention sera inscrit</w:t>
      </w:r>
      <w:r w:rsidR="007E6F25">
        <w:rPr>
          <w:rFonts w:ascii="Times New Roman" w:hAnsi="Times New Roman" w:cs="Times New Roman"/>
          <w:szCs w:val="20"/>
        </w:rPr>
        <w:t>e</w:t>
      </w:r>
      <w:r w:rsidRPr="003D090F">
        <w:rPr>
          <w:rFonts w:ascii="Times New Roman" w:hAnsi="Times New Roman" w:cs="Times New Roman"/>
          <w:szCs w:val="20"/>
        </w:rPr>
        <w:t xml:space="preserve"> au budget primitif 2025.</w:t>
      </w:r>
    </w:p>
    <w:p w:rsidR="005869B5" w:rsidRDefault="005869B5" w:rsidP="005869B5">
      <w:pPr>
        <w:autoSpaceDE w:val="0"/>
        <w:autoSpaceDN w:val="0"/>
        <w:adjustRightInd w:val="0"/>
        <w:spacing w:after="0" w:line="240" w:lineRule="auto"/>
        <w:jc w:val="both"/>
        <w:rPr>
          <w:rFonts w:ascii="Calibri" w:hAnsi="Calibri" w:cs="Calibri"/>
        </w:rPr>
      </w:pPr>
    </w:p>
    <w:p w:rsidR="00B726F3" w:rsidRPr="00B726F3" w:rsidRDefault="00B726F3" w:rsidP="005869B5">
      <w:pPr>
        <w:autoSpaceDE w:val="0"/>
        <w:autoSpaceDN w:val="0"/>
        <w:adjustRightInd w:val="0"/>
        <w:spacing w:after="0" w:line="240" w:lineRule="auto"/>
        <w:jc w:val="both"/>
        <w:rPr>
          <w:rFonts w:ascii="Times New Roman" w:hAnsi="Times New Roman" w:cs="Times New Roman"/>
          <w:b/>
          <w:sz w:val="24"/>
          <w:szCs w:val="24"/>
        </w:rPr>
      </w:pPr>
      <w:r w:rsidRPr="00B726F3">
        <w:rPr>
          <w:rFonts w:ascii="Times New Roman" w:hAnsi="Times New Roman" w:cs="Times New Roman"/>
          <w:b/>
        </w:rPr>
        <w:t xml:space="preserve">08 - </w:t>
      </w:r>
      <w:r w:rsidRPr="00B726F3">
        <w:rPr>
          <w:rFonts w:ascii="Times New Roman" w:hAnsi="Times New Roman" w:cs="Times New Roman"/>
          <w:b/>
          <w:sz w:val="24"/>
          <w:szCs w:val="24"/>
        </w:rPr>
        <w:t>Plan de financement :  travaux 2025 sur réseau d'eau</w:t>
      </w:r>
    </w:p>
    <w:p w:rsidR="005869B5" w:rsidRPr="003D090F" w:rsidRDefault="005869B5" w:rsidP="003D090F">
      <w:pPr>
        <w:tabs>
          <w:tab w:val="left" w:pos="284"/>
        </w:tabs>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La gestion des ressources en eau devenant un enjeu majeur, le Maire rappelle l'importance de pouvoir prévenir, détecter, localiser et réparer les fuites sur le réseau dans les meilleurs délais. Dans la continuité des travaux déjà effectués, s'en suivront la mise en place de 3 nouveaux compteurs de sectorisation, ainsi qu'un débitmètre au réservoir et un satellite de télégestion pour 2025.</w:t>
      </w:r>
    </w:p>
    <w:p w:rsidR="005869B5" w:rsidRPr="003D090F" w:rsidRDefault="005869B5" w:rsidP="003D090F">
      <w:pPr>
        <w:tabs>
          <w:tab w:val="left" w:pos="284"/>
        </w:tabs>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Pour réaliser les travaux, le Conseil Municipal décide de solliciter l'Agence de l'eau Loire-Bretagne et de demander une aide pour des travaux d'économies d'eau</w:t>
      </w:r>
    </w:p>
    <w:p w:rsidR="005869B5" w:rsidRPr="003D090F" w:rsidRDefault="005869B5"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 xml:space="preserve">Le montant HT du projet s'élève à 36 525.00€ HT </w:t>
      </w:r>
    </w:p>
    <w:p w:rsidR="005869B5" w:rsidRPr="003D090F" w:rsidRDefault="005869B5"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Le plan de financement prévu est le suivant :</w:t>
      </w:r>
    </w:p>
    <w:p w:rsidR="005869B5" w:rsidRPr="003D090F" w:rsidRDefault="005869B5"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Dépenses HT : 36 525.00€</w:t>
      </w:r>
    </w:p>
    <w:p w:rsidR="005869B5" w:rsidRPr="003D090F" w:rsidRDefault="005869B5"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Financement :</w:t>
      </w:r>
    </w:p>
    <w:p w:rsidR="005869B5" w:rsidRPr="003D090F" w:rsidRDefault="005869B5"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Agence de l'Eau Loire-Bretagne :  21 915.00€</w:t>
      </w:r>
    </w:p>
    <w:p w:rsidR="005869B5" w:rsidRPr="003D090F" w:rsidRDefault="005869B5"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Autofinancement : 14 610.00€</w:t>
      </w:r>
    </w:p>
    <w:p w:rsidR="005869B5" w:rsidRPr="003D090F" w:rsidRDefault="005869B5"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Soit un total de 36 525.00€</w:t>
      </w:r>
    </w:p>
    <w:p w:rsidR="00BF1C0F" w:rsidRPr="003D090F" w:rsidRDefault="005869B5" w:rsidP="003D090F">
      <w:pPr>
        <w:tabs>
          <w:tab w:val="left" w:pos="284"/>
        </w:tabs>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Le conseil municipal décide, à l'unanimité des membres présents et représentés, de solliciter cette subvention pour réaliser ce projet.</w:t>
      </w:r>
    </w:p>
    <w:p w:rsidR="005869B5" w:rsidRPr="00BF1C0F" w:rsidRDefault="005869B5" w:rsidP="005869B5">
      <w:pPr>
        <w:tabs>
          <w:tab w:val="left" w:pos="284"/>
        </w:tabs>
        <w:autoSpaceDE w:val="0"/>
        <w:autoSpaceDN w:val="0"/>
        <w:adjustRightInd w:val="0"/>
        <w:spacing w:after="0" w:line="240" w:lineRule="auto"/>
        <w:ind w:firstLine="567"/>
        <w:jc w:val="both"/>
        <w:rPr>
          <w:rFonts w:ascii="Times New Roman" w:hAnsi="Times New Roman" w:cs="Times New Roman"/>
          <w:b/>
        </w:rPr>
      </w:pPr>
    </w:p>
    <w:p w:rsidR="00B726F3" w:rsidRPr="00BF1C0F" w:rsidRDefault="00BF1C0F" w:rsidP="00DF2191">
      <w:pPr>
        <w:autoSpaceDE w:val="0"/>
        <w:autoSpaceDN w:val="0"/>
        <w:adjustRightInd w:val="0"/>
        <w:spacing w:after="0" w:line="240" w:lineRule="auto"/>
        <w:jc w:val="both"/>
        <w:rPr>
          <w:rFonts w:ascii="Times New Roman" w:hAnsi="Times New Roman" w:cs="Times New Roman"/>
          <w:b/>
          <w:sz w:val="24"/>
          <w:szCs w:val="24"/>
        </w:rPr>
      </w:pPr>
      <w:r w:rsidRPr="00BF1C0F">
        <w:rPr>
          <w:rFonts w:ascii="Times New Roman" w:hAnsi="Times New Roman" w:cs="Times New Roman"/>
          <w:b/>
        </w:rPr>
        <w:t xml:space="preserve">09 - </w:t>
      </w:r>
      <w:r w:rsidRPr="00BF1C0F">
        <w:rPr>
          <w:rFonts w:ascii="Times New Roman" w:hAnsi="Times New Roman" w:cs="Times New Roman"/>
          <w:b/>
          <w:sz w:val="24"/>
          <w:szCs w:val="24"/>
        </w:rPr>
        <w:t>Fongibilité des crédits pour l'année 2025</w:t>
      </w:r>
    </w:p>
    <w:p w:rsidR="006912E4" w:rsidRPr="003D090F" w:rsidRDefault="006912E4" w:rsidP="003D090F">
      <w:pPr>
        <w:tabs>
          <w:tab w:val="left" w:pos="284"/>
        </w:tabs>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 xml:space="preserve">Monsieur le maire rappelle aux membres du conseil que le référentiel M57 étend à toutes les collectivités territoriales les règles budgétaires assouplies offrant une plus grande marge de </w:t>
      </w:r>
      <w:r w:rsidR="003D090F" w:rsidRPr="003D090F">
        <w:rPr>
          <w:rFonts w:ascii="Times New Roman" w:hAnsi="Times New Roman" w:cs="Times New Roman"/>
          <w:szCs w:val="20"/>
        </w:rPr>
        <w:t>manœuvre</w:t>
      </w:r>
      <w:r w:rsidRPr="003D090F">
        <w:rPr>
          <w:rFonts w:ascii="Times New Roman" w:hAnsi="Times New Roman" w:cs="Times New Roman"/>
          <w:szCs w:val="20"/>
        </w:rPr>
        <w:t xml:space="preserve"> et souplesse budgétaire aux gestionnaires et notamment en matière de fongibilité des crédits.</w:t>
      </w:r>
    </w:p>
    <w:p w:rsidR="006912E4" w:rsidRPr="003D090F" w:rsidRDefault="006912E4" w:rsidP="003D090F">
      <w:pPr>
        <w:tabs>
          <w:tab w:val="left" w:pos="284"/>
        </w:tabs>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Vu l’article L. 2121-29 du code général des collectivités territoriales, l’article 242 de la loi n°2018-1317 du 28 décembre de finances pour 2019 et l’arrêté ministériel du ministre de la cohésion des territoires et des relations avec les collectivités territoriales et du ministre de l’action et des comptes publics du 20 décembre 2018 relatif à l’instruction budgétaire et comptable M57 applicable aux collectivités territoriales ;</w:t>
      </w:r>
    </w:p>
    <w:p w:rsidR="006912E4" w:rsidRPr="003D090F" w:rsidRDefault="006912E4"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Considérant que la collectivité a déjà adopté la nomenclature M57</w:t>
      </w:r>
    </w:p>
    <w:p w:rsidR="006912E4" w:rsidRPr="003D090F" w:rsidRDefault="006912E4"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 xml:space="preserve">Vu l’article L. 5217-10-6 du code général des collectivités territoriales, « dans la limite fixée à l’occasion du budget et ne pouvait dépasser 7,5 % des dépenses réelles de chacune des sections, </w:t>
      </w:r>
    </w:p>
    <w:p w:rsidR="006912E4" w:rsidRPr="003D090F" w:rsidRDefault="006912E4"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proofErr w:type="gramStart"/>
      <w:r w:rsidRPr="003D090F">
        <w:rPr>
          <w:rFonts w:ascii="Times New Roman" w:hAnsi="Times New Roman" w:cs="Times New Roman"/>
          <w:szCs w:val="20"/>
        </w:rPr>
        <w:t>l’assemblée</w:t>
      </w:r>
      <w:proofErr w:type="gramEnd"/>
      <w:r w:rsidRPr="003D090F">
        <w:rPr>
          <w:rFonts w:ascii="Times New Roman" w:hAnsi="Times New Roman" w:cs="Times New Roman"/>
          <w:szCs w:val="20"/>
        </w:rPr>
        <w:t xml:space="preserve"> délibérante peut déléguer la possibilité de procéder à des mouvements de crédits de chapitre à chapitre, à l’exclusion des crédits relatifs aux dépenses de personnel. </w:t>
      </w:r>
    </w:p>
    <w:p w:rsidR="006912E4" w:rsidRPr="003D090F" w:rsidRDefault="006912E4"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Dans ce cas, l’assemblée délibérante est informée de ces mouvements de crédits lors de sa plus proche séance ».</w:t>
      </w:r>
    </w:p>
    <w:p w:rsidR="006912E4" w:rsidRPr="003D090F" w:rsidRDefault="006912E4"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Après en avoir délibéré, le conseil municipal, à l'unanimité :</w:t>
      </w:r>
    </w:p>
    <w:p w:rsidR="006912E4" w:rsidRPr="003D090F" w:rsidRDefault="006912E4"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 AUTORISE Monsieur le Maire à procéder à des virements de crédits comme mentionné précédemment.</w:t>
      </w:r>
    </w:p>
    <w:p w:rsidR="006912E4" w:rsidRPr="003D090F" w:rsidRDefault="006912E4" w:rsidP="003D090F">
      <w:pPr>
        <w:tabs>
          <w:tab w:val="left" w:pos="284"/>
        </w:tabs>
        <w:autoSpaceDE w:val="0"/>
        <w:autoSpaceDN w:val="0"/>
        <w:adjustRightInd w:val="0"/>
        <w:spacing w:after="0" w:line="240" w:lineRule="auto"/>
        <w:ind w:firstLine="567"/>
        <w:jc w:val="both"/>
        <w:rPr>
          <w:rFonts w:ascii="Times New Roman" w:hAnsi="Times New Roman" w:cs="Times New Roman"/>
          <w:szCs w:val="20"/>
        </w:rPr>
      </w:pPr>
      <w:r w:rsidRPr="003D090F">
        <w:rPr>
          <w:rFonts w:ascii="Times New Roman" w:hAnsi="Times New Roman" w:cs="Times New Roman"/>
          <w:szCs w:val="20"/>
        </w:rPr>
        <w:t xml:space="preserve">- Donne tous pouvoirs à M. le maire ou à son représentant à prendre toutes les mesures ainsi qu’à signer tous les documents nécessaires à la mise en </w:t>
      </w:r>
      <w:r w:rsidR="003D090F" w:rsidRPr="003D090F">
        <w:rPr>
          <w:rFonts w:ascii="Times New Roman" w:hAnsi="Times New Roman" w:cs="Times New Roman"/>
          <w:szCs w:val="20"/>
        </w:rPr>
        <w:t>œuvre</w:t>
      </w:r>
      <w:r w:rsidRPr="003D090F">
        <w:rPr>
          <w:rFonts w:ascii="Times New Roman" w:hAnsi="Times New Roman" w:cs="Times New Roman"/>
          <w:szCs w:val="20"/>
        </w:rPr>
        <w:t xml:space="preserve"> de la présente délibération.</w:t>
      </w:r>
    </w:p>
    <w:p w:rsidR="006912E4" w:rsidRDefault="006912E4" w:rsidP="006912E4">
      <w:pPr>
        <w:spacing w:after="0"/>
        <w:rPr>
          <w:rFonts w:ascii="Times New Roman" w:hAnsi="Times New Roman" w:cs="Times New Roman"/>
        </w:rPr>
      </w:pPr>
    </w:p>
    <w:p w:rsidR="00DF2191" w:rsidRDefault="00DF2191" w:rsidP="00FD1772">
      <w:pPr>
        <w:spacing w:after="0"/>
        <w:rPr>
          <w:rFonts w:ascii="Times New Roman" w:hAnsi="Times New Roman" w:cs="Times New Roman"/>
          <w:b/>
          <w:sz w:val="24"/>
          <w:szCs w:val="24"/>
        </w:rPr>
      </w:pPr>
      <w:r>
        <w:rPr>
          <w:rFonts w:ascii="Times New Roman" w:hAnsi="Times New Roman" w:cs="Times New Roman"/>
          <w:b/>
          <w:sz w:val="24"/>
          <w:szCs w:val="24"/>
        </w:rPr>
        <w:t>10 – Déclassement d’une section de la VC14 du PDIPR</w:t>
      </w:r>
    </w:p>
    <w:p w:rsidR="006912E4" w:rsidRPr="003D090F" w:rsidRDefault="006912E4" w:rsidP="006912E4">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Le Maire expose le plan PDIPR aux conseillers et la localisation du chemin 54 sur la Voie Communale 14 (plan annexé).</w:t>
      </w:r>
    </w:p>
    <w:p w:rsidR="006912E4" w:rsidRPr="003D090F" w:rsidRDefault="006912E4" w:rsidP="006912E4">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 xml:space="preserve">Cette partie de la VC14 s'achève en cul-de-sac, au sein d'une propriété privée, qui aujourd'hui ne propose plus d'activité professionnelle ou touristique.  </w:t>
      </w:r>
    </w:p>
    <w:p w:rsidR="006912E4" w:rsidRPr="003D090F" w:rsidRDefault="006912E4" w:rsidP="006912E4">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 xml:space="preserve">Précédent le chemin 54, est inscrit le chemin 53 venant de </w:t>
      </w:r>
      <w:proofErr w:type="spellStart"/>
      <w:r w:rsidRPr="003D090F">
        <w:rPr>
          <w:rFonts w:ascii="Times New Roman" w:hAnsi="Times New Roman" w:cs="Times New Roman"/>
          <w:szCs w:val="20"/>
        </w:rPr>
        <w:t>Challuée</w:t>
      </w:r>
      <w:proofErr w:type="spellEnd"/>
      <w:r w:rsidRPr="003D090F">
        <w:rPr>
          <w:rFonts w:ascii="Times New Roman" w:hAnsi="Times New Roman" w:cs="Times New Roman"/>
          <w:szCs w:val="20"/>
        </w:rPr>
        <w:t>. A l'intersection avec le chemin 53, le promeneur a la possibilité de :</w:t>
      </w:r>
    </w:p>
    <w:p w:rsidR="006912E4" w:rsidRPr="003D090F" w:rsidRDefault="006912E4" w:rsidP="006912E4">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 xml:space="preserve">- continuer sur le chemin rural dit du Grand Quartier </w:t>
      </w:r>
    </w:p>
    <w:p w:rsidR="006912E4" w:rsidRPr="003D090F" w:rsidRDefault="006912E4" w:rsidP="006912E4">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 d'aller en direction de la RD34.</w:t>
      </w:r>
    </w:p>
    <w:p w:rsidR="006912E4" w:rsidRPr="003D090F" w:rsidRDefault="006912E4" w:rsidP="006912E4">
      <w:pPr>
        <w:autoSpaceDE w:val="0"/>
        <w:autoSpaceDN w:val="0"/>
        <w:adjustRightInd w:val="0"/>
        <w:spacing w:after="0" w:line="240" w:lineRule="auto"/>
        <w:jc w:val="both"/>
        <w:rPr>
          <w:rFonts w:ascii="Times New Roman" w:hAnsi="Times New Roman" w:cs="Times New Roman"/>
          <w:szCs w:val="20"/>
        </w:rPr>
      </w:pPr>
      <w:r w:rsidRPr="003D090F">
        <w:rPr>
          <w:rFonts w:ascii="Times New Roman" w:hAnsi="Times New Roman" w:cs="Times New Roman"/>
          <w:szCs w:val="20"/>
        </w:rPr>
        <w:t xml:space="preserve">Dans l'intérêt général, une enquête publique a été menée dans le cadre du déclassement et l'aliénation de ce chemin. </w:t>
      </w:r>
    </w:p>
    <w:p w:rsidR="00DF2191" w:rsidRDefault="006912E4" w:rsidP="003D090F">
      <w:pPr>
        <w:spacing w:after="0"/>
        <w:jc w:val="both"/>
        <w:rPr>
          <w:rFonts w:ascii="Calibri" w:hAnsi="Calibri" w:cs="Calibri"/>
        </w:rPr>
      </w:pPr>
      <w:r w:rsidRPr="003D090F">
        <w:rPr>
          <w:rFonts w:ascii="Times New Roman" w:hAnsi="Times New Roman" w:cs="Times New Roman"/>
          <w:szCs w:val="20"/>
        </w:rPr>
        <w:lastRenderedPageBreak/>
        <w:t xml:space="preserve">Après avoir pris connaissance de la liste des chemins inscrits au PDIPR à ce jour et de leur localisation, des remarques portées à l'attention de la commune et de l'enquêteur, le conseil municipal, après en avoir délibéré, demande le retrait du PDIPR du chemin 54, correspondant </w:t>
      </w:r>
      <w:proofErr w:type="gramStart"/>
      <w:r w:rsidRPr="003D090F">
        <w:rPr>
          <w:rFonts w:ascii="Times New Roman" w:hAnsi="Times New Roman" w:cs="Times New Roman"/>
          <w:szCs w:val="20"/>
        </w:rPr>
        <w:t>à  143</w:t>
      </w:r>
      <w:proofErr w:type="gramEnd"/>
      <w:r w:rsidRPr="003D090F">
        <w:rPr>
          <w:rFonts w:ascii="Times New Roman" w:hAnsi="Times New Roman" w:cs="Times New Roman"/>
          <w:szCs w:val="20"/>
        </w:rPr>
        <w:t>m de la VC 14, reportée sur la carte annexée</w:t>
      </w:r>
      <w:r>
        <w:rPr>
          <w:rFonts w:ascii="Calibri" w:hAnsi="Calibri" w:cs="Calibri"/>
        </w:rPr>
        <w:t>.</w:t>
      </w:r>
    </w:p>
    <w:p w:rsidR="006912E4" w:rsidRDefault="006912E4" w:rsidP="006912E4">
      <w:pPr>
        <w:spacing w:after="0"/>
        <w:rPr>
          <w:rFonts w:ascii="Times New Roman" w:hAnsi="Times New Roman" w:cs="Times New Roman"/>
          <w:b/>
          <w:sz w:val="24"/>
          <w:szCs w:val="24"/>
        </w:rPr>
      </w:pPr>
    </w:p>
    <w:p w:rsidR="00443D89" w:rsidRDefault="00443D89" w:rsidP="006912E4">
      <w:pPr>
        <w:spacing w:after="0"/>
        <w:rPr>
          <w:rFonts w:ascii="Times New Roman" w:hAnsi="Times New Roman" w:cs="Times New Roman"/>
          <w:b/>
          <w:sz w:val="24"/>
          <w:szCs w:val="24"/>
        </w:rPr>
      </w:pPr>
      <w:r>
        <w:rPr>
          <w:rFonts w:ascii="Times New Roman" w:hAnsi="Times New Roman" w:cs="Times New Roman"/>
          <w:b/>
          <w:sz w:val="24"/>
          <w:szCs w:val="24"/>
        </w:rPr>
        <w:t>11 – Tarifs eau 2025</w:t>
      </w:r>
    </w:p>
    <w:p w:rsidR="00443D89" w:rsidRPr="00443D89" w:rsidRDefault="00443D89" w:rsidP="00443D89">
      <w:pPr>
        <w:tabs>
          <w:tab w:val="left" w:pos="360"/>
        </w:tabs>
        <w:autoSpaceDE w:val="0"/>
        <w:autoSpaceDN w:val="0"/>
        <w:adjustRightInd w:val="0"/>
        <w:spacing w:after="0" w:line="240" w:lineRule="auto"/>
        <w:rPr>
          <w:rFonts w:ascii="Times New Roman" w:hAnsi="Times New Roman" w:cs="Times New Roman"/>
          <w:szCs w:val="20"/>
        </w:rPr>
      </w:pPr>
      <w:r w:rsidRPr="00443D89">
        <w:rPr>
          <w:rFonts w:ascii="Times New Roman" w:hAnsi="Times New Roman" w:cs="Times New Roman"/>
          <w:szCs w:val="20"/>
        </w:rPr>
        <w:t xml:space="preserve">Après en avoir délibéré, le Conseil municipal décide à l'unanimité d'augmenter les tarifs du Service des Eaux comme suit : </w:t>
      </w:r>
    </w:p>
    <w:p w:rsidR="00443D89" w:rsidRPr="00443D89" w:rsidRDefault="00443D89" w:rsidP="00443D89">
      <w:pPr>
        <w:tabs>
          <w:tab w:val="left" w:pos="360"/>
        </w:tabs>
        <w:autoSpaceDE w:val="0"/>
        <w:autoSpaceDN w:val="0"/>
        <w:adjustRightInd w:val="0"/>
        <w:spacing w:after="0" w:line="240" w:lineRule="auto"/>
        <w:ind w:left="720" w:hanging="360"/>
        <w:rPr>
          <w:rFonts w:ascii="Times New Roman" w:hAnsi="Times New Roman" w:cs="Times New Roman"/>
          <w:szCs w:val="20"/>
        </w:rPr>
      </w:pPr>
      <w:r w:rsidRPr="00443D89">
        <w:rPr>
          <w:rFonts w:ascii="Times New Roman" w:hAnsi="Times New Roman" w:cs="Times New Roman"/>
          <w:szCs w:val="20"/>
        </w:rPr>
        <w:t>- Prix du m3 de 2%</w:t>
      </w:r>
    </w:p>
    <w:p w:rsidR="00443D89" w:rsidRPr="00443D89" w:rsidRDefault="00443D89" w:rsidP="00443D89">
      <w:pPr>
        <w:tabs>
          <w:tab w:val="left" w:pos="360"/>
        </w:tabs>
        <w:autoSpaceDE w:val="0"/>
        <w:autoSpaceDN w:val="0"/>
        <w:adjustRightInd w:val="0"/>
        <w:spacing w:after="0" w:line="240" w:lineRule="auto"/>
        <w:ind w:left="720" w:hanging="360"/>
        <w:rPr>
          <w:rFonts w:ascii="Times New Roman" w:hAnsi="Times New Roman" w:cs="Times New Roman"/>
          <w:szCs w:val="20"/>
        </w:rPr>
      </w:pPr>
      <w:r w:rsidRPr="00443D89">
        <w:rPr>
          <w:rFonts w:ascii="Times New Roman" w:hAnsi="Times New Roman" w:cs="Times New Roman"/>
          <w:szCs w:val="20"/>
        </w:rPr>
        <w:t>- de 0 à 500m3 : passe de 1.2</w:t>
      </w:r>
      <w:r w:rsidR="00CB548A">
        <w:rPr>
          <w:rFonts w:ascii="Times New Roman" w:hAnsi="Times New Roman" w:cs="Times New Roman"/>
          <w:szCs w:val="20"/>
        </w:rPr>
        <w:t>8</w:t>
      </w:r>
      <w:r w:rsidRPr="00443D89">
        <w:rPr>
          <w:rFonts w:ascii="Times New Roman" w:hAnsi="Times New Roman" w:cs="Times New Roman"/>
          <w:szCs w:val="20"/>
        </w:rPr>
        <w:t>€ à 1.</w:t>
      </w:r>
      <w:r w:rsidR="00CB548A">
        <w:rPr>
          <w:rFonts w:ascii="Times New Roman" w:hAnsi="Times New Roman" w:cs="Times New Roman"/>
          <w:szCs w:val="20"/>
        </w:rPr>
        <w:t>31</w:t>
      </w:r>
      <w:r w:rsidRPr="00443D89">
        <w:rPr>
          <w:rFonts w:ascii="Times New Roman" w:hAnsi="Times New Roman" w:cs="Times New Roman"/>
          <w:szCs w:val="20"/>
        </w:rPr>
        <w:t>€</w:t>
      </w:r>
    </w:p>
    <w:p w:rsidR="00443D89" w:rsidRPr="00443D89" w:rsidRDefault="00443D89" w:rsidP="00443D89">
      <w:pPr>
        <w:tabs>
          <w:tab w:val="left" w:pos="360"/>
        </w:tabs>
        <w:autoSpaceDE w:val="0"/>
        <w:autoSpaceDN w:val="0"/>
        <w:adjustRightInd w:val="0"/>
        <w:spacing w:after="0" w:line="240" w:lineRule="auto"/>
        <w:ind w:left="720" w:hanging="360"/>
        <w:rPr>
          <w:rFonts w:ascii="Times New Roman" w:hAnsi="Times New Roman" w:cs="Times New Roman"/>
          <w:szCs w:val="20"/>
        </w:rPr>
      </w:pPr>
      <w:r w:rsidRPr="00443D89">
        <w:rPr>
          <w:rFonts w:ascii="Times New Roman" w:hAnsi="Times New Roman" w:cs="Times New Roman"/>
          <w:szCs w:val="20"/>
        </w:rPr>
        <w:t>- plus de 500m3 : passe de 0.9</w:t>
      </w:r>
      <w:r w:rsidR="00CB548A">
        <w:rPr>
          <w:rFonts w:ascii="Times New Roman" w:hAnsi="Times New Roman" w:cs="Times New Roman"/>
          <w:szCs w:val="20"/>
        </w:rPr>
        <w:t>9</w:t>
      </w:r>
      <w:r w:rsidRPr="00443D89">
        <w:rPr>
          <w:rFonts w:ascii="Times New Roman" w:hAnsi="Times New Roman" w:cs="Times New Roman"/>
          <w:szCs w:val="20"/>
        </w:rPr>
        <w:t xml:space="preserve">€ à </w:t>
      </w:r>
      <w:r w:rsidR="00CB548A">
        <w:rPr>
          <w:rFonts w:ascii="Times New Roman" w:hAnsi="Times New Roman" w:cs="Times New Roman"/>
          <w:szCs w:val="20"/>
        </w:rPr>
        <w:t>1.01</w:t>
      </w:r>
      <w:r w:rsidRPr="00443D89">
        <w:rPr>
          <w:rFonts w:ascii="Times New Roman" w:hAnsi="Times New Roman" w:cs="Times New Roman"/>
          <w:szCs w:val="20"/>
        </w:rPr>
        <w:t xml:space="preserve">€ </w:t>
      </w:r>
    </w:p>
    <w:p w:rsidR="00443D89" w:rsidRPr="00443D89" w:rsidRDefault="00443D89" w:rsidP="00443D89">
      <w:pPr>
        <w:spacing w:after="0"/>
        <w:rPr>
          <w:rFonts w:ascii="Times New Roman" w:hAnsi="Times New Roman" w:cs="Times New Roman"/>
          <w:szCs w:val="20"/>
        </w:rPr>
      </w:pPr>
      <w:r w:rsidRPr="00443D89">
        <w:rPr>
          <w:rFonts w:ascii="Times New Roman" w:hAnsi="Times New Roman" w:cs="Times New Roman"/>
          <w:szCs w:val="20"/>
        </w:rPr>
        <w:t>Le droit au branchement reste à 78.18€.</w:t>
      </w:r>
    </w:p>
    <w:p w:rsidR="00443D89" w:rsidRDefault="00443D89" w:rsidP="006912E4">
      <w:pPr>
        <w:spacing w:after="0"/>
        <w:rPr>
          <w:rFonts w:ascii="Times New Roman" w:hAnsi="Times New Roman" w:cs="Times New Roman"/>
          <w:b/>
          <w:sz w:val="24"/>
          <w:szCs w:val="24"/>
        </w:rPr>
      </w:pPr>
    </w:p>
    <w:p w:rsidR="00FD1772" w:rsidRPr="00A51AD6" w:rsidRDefault="00FD1772" w:rsidP="00FD1772">
      <w:pPr>
        <w:spacing w:after="0"/>
        <w:rPr>
          <w:rFonts w:ascii="Times New Roman" w:hAnsi="Times New Roman" w:cs="Times New Roman"/>
          <w:b/>
          <w:sz w:val="24"/>
          <w:szCs w:val="24"/>
        </w:rPr>
      </w:pPr>
      <w:r w:rsidRPr="00A51AD6">
        <w:rPr>
          <w:rFonts w:ascii="Times New Roman" w:hAnsi="Times New Roman" w:cs="Times New Roman"/>
          <w:b/>
          <w:sz w:val="24"/>
          <w:szCs w:val="24"/>
        </w:rPr>
        <w:t>INFORMATIONS DIVERSES :</w:t>
      </w:r>
    </w:p>
    <w:p w:rsidR="005E6ABC" w:rsidRDefault="00CC4501" w:rsidP="00FD1772">
      <w:pPr>
        <w:spacing w:after="0"/>
        <w:jc w:val="both"/>
        <w:rPr>
          <w:rFonts w:ascii="Times New Roman" w:hAnsi="Times New Roman" w:cs="Times New Roman"/>
          <w:u w:val="single"/>
        </w:rPr>
      </w:pPr>
      <w:r>
        <w:rPr>
          <w:rFonts w:ascii="Times New Roman" w:hAnsi="Times New Roman" w:cs="Times New Roman"/>
          <w:u w:val="single"/>
        </w:rPr>
        <w:t xml:space="preserve">Déclassement et aliénation </w:t>
      </w:r>
      <w:r w:rsidR="005E6ABC">
        <w:rPr>
          <w:rFonts w:ascii="Times New Roman" w:hAnsi="Times New Roman" w:cs="Times New Roman"/>
          <w:u w:val="single"/>
        </w:rPr>
        <w:t>d’une partie de la VC14 secteur Moulin d’Aron </w:t>
      </w:r>
      <w:r w:rsidR="005E6ABC" w:rsidRPr="00CC4501">
        <w:rPr>
          <w:rFonts w:ascii="Times New Roman" w:hAnsi="Times New Roman" w:cs="Times New Roman"/>
        </w:rPr>
        <w:t xml:space="preserve">: l’enquête publique est terminée. </w:t>
      </w:r>
      <w:r w:rsidRPr="00CC4501">
        <w:rPr>
          <w:rFonts w:ascii="Times New Roman" w:hAnsi="Times New Roman" w:cs="Times New Roman"/>
        </w:rPr>
        <w:t xml:space="preserve">Les remarques formulées ont été annotées et prises en compte. </w:t>
      </w:r>
      <w:r w:rsidR="00451A87">
        <w:rPr>
          <w:rFonts w:ascii="Times New Roman" w:hAnsi="Times New Roman" w:cs="Times New Roman"/>
        </w:rPr>
        <w:t xml:space="preserve">La commune répondra aux questions que transmettra l’enquêteur qui </w:t>
      </w:r>
      <w:r w:rsidRPr="00CC4501">
        <w:rPr>
          <w:rFonts w:ascii="Times New Roman" w:hAnsi="Times New Roman" w:cs="Times New Roman"/>
        </w:rPr>
        <w:t>rendra son rapport sous 10 jours.</w:t>
      </w:r>
      <w:r w:rsidR="00451A87">
        <w:rPr>
          <w:rFonts w:ascii="Times New Roman" w:hAnsi="Times New Roman" w:cs="Times New Roman"/>
        </w:rPr>
        <w:t xml:space="preserve"> </w:t>
      </w:r>
    </w:p>
    <w:p w:rsidR="00FD1772" w:rsidRDefault="00FD1772" w:rsidP="00FD1772">
      <w:pPr>
        <w:spacing w:after="0"/>
        <w:jc w:val="both"/>
        <w:rPr>
          <w:rFonts w:ascii="Times New Roman" w:hAnsi="Times New Roman" w:cs="Times New Roman"/>
          <w:u w:val="single"/>
        </w:rPr>
      </w:pPr>
      <w:r>
        <w:rPr>
          <w:rFonts w:ascii="Times New Roman" w:hAnsi="Times New Roman" w:cs="Times New Roman"/>
          <w:u w:val="single"/>
        </w:rPr>
        <w:t>Affouages </w:t>
      </w:r>
      <w:r w:rsidRPr="00FD1772">
        <w:rPr>
          <w:rFonts w:ascii="Times New Roman" w:hAnsi="Times New Roman" w:cs="Times New Roman"/>
        </w:rPr>
        <w:t>: commande de 350 stères à la société EBE.</w:t>
      </w:r>
      <w:r>
        <w:rPr>
          <w:rFonts w:ascii="Times New Roman" w:hAnsi="Times New Roman" w:cs="Times New Roman"/>
          <w:u w:val="single"/>
        </w:rPr>
        <w:t xml:space="preserve"> </w:t>
      </w:r>
    </w:p>
    <w:p w:rsidR="00FD1772" w:rsidRDefault="00FD1772" w:rsidP="00FD1772">
      <w:pPr>
        <w:spacing w:after="0"/>
        <w:jc w:val="both"/>
        <w:rPr>
          <w:rFonts w:ascii="Times New Roman" w:hAnsi="Times New Roman" w:cs="Times New Roman"/>
          <w:u w:val="single"/>
        </w:rPr>
      </w:pPr>
      <w:r>
        <w:rPr>
          <w:rFonts w:ascii="Times New Roman" w:hAnsi="Times New Roman" w:cs="Times New Roman"/>
          <w:u w:val="single"/>
        </w:rPr>
        <w:t>Ecole </w:t>
      </w:r>
      <w:r w:rsidRPr="00FD1772">
        <w:rPr>
          <w:rFonts w:ascii="Times New Roman" w:hAnsi="Times New Roman" w:cs="Times New Roman"/>
        </w:rPr>
        <w:t>: demande de devis pour remise en conformité de l’installation électrique</w:t>
      </w:r>
    </w:p>
    <w:p w:rsidR="00FD1772" w:rsidRDefault="00FD1772" w:rsidP="00FD1772">
      <w:pPr>
        <w:spacing w:after="0"/>
        <w:jc w:val="both"/>
        <w:rPr>
          <w:rFonts w:ascii="Times New Roman" w:hAnsi="Times New Roman" w:cs="Times New Roman"/>
        </w:rPr>
      </w:pPr>
      <w:r>
        <w:rPr>
          <w:rFonts w:ascii="Times New Roman" w:hAnsi="Times New Roman" w:cs="Times New Roman"/>
          <w:u w:val="single"/>
        </w:rPr>
        <w:t>Salle des fêtes </w:t>
      </w:r>
      <w:r w:rsidRPr="00FD1772">
        <w:rPr>
          <w:rFonts w:ascii="Times New Roman" w:hAnsi="Times New Roman" w:cs="Times New Roman"/>
        </w:rPr>
        <w:t xml:space="preserve">: </w:t>
      </w:r>
      <w:r>
        <w:rPr>
          <w:rFonts w:ascii="Times New Roman" w:hAnsi="Times New Roman" w:cs="Times New Roman"/>
        </w:rPr>
        <w:t>devis pour re</w:t>
      </w:r>
      <w:r w:rsidRPr="00FD1772">
        <w:rPr>
          <w:rFonts w:ascii="Times New Roman" w:hAnsi="Times New Roman" w:cs="Times New Roman"/>
        </w:rPr>
        <w:t>mise aux normes et peinture</w:t>
      </w:r>
    </w:p>
    <w:p w:rsidR="00FD1772" w:rsidRDefault="00FD1772" w:rsidP="00FD1772">
      <w:pPr>
        <w:spacing w:after="0"/>
        <w:jc w:val="both"/>
        <w:rPr>
          <w:rFonts w:ascii="Times New Roman" w:hAnsi="Times New Roman" w:cs="Times New Roman"/>
        </w:rPr>
      </w:pPr>
      <w:r w:rsidRPr="00FD1772">
        <w:rPr>
          <w:rFonts w:ascii="Times New Roman" w:hAnsi="Times New Roman" w:cs="Times New Roman"/>
          <w:u w:val="single"/>
        </w:rPr>
        <w:t xml:space="preserve">Vente </w:t>
      </w:r>
      <w:proofErr w:type="spellStart"/>
      <w:r w:rsidRPr="00FD1772">
        <w:rPr>
          <w:rFonts w:ascii="Times New Roman" w:hAnsi="Times New Roman" w:cs="Times New Roman"/>
          <w:u w:val="single"/>
        </w:rPr>
        <w:t>Biet</w:t>
      </w:r>
      <w:proofErr w:type="spellEnd"/>
      <w:r>
        <w:rPr>
          <w:rFonts w:ascii="Times New Roman" w:hAnsi="Times New Roman" w:cs="Times New Roman"/>
        </w:rPr>
        <w:t xml:space="preserve"> : acte notarié </w:t>
      </w:r>
      <w:proofErr w:type="gramStart"/>
      <w:r>
        <w:rPr>
          <w:rFonts w:ascii="Times New Roman" w:hAnsi="Times New Roman" w:cs="Times New Roman"/>
        </w:rPr>
        <w:t>signé</w:t>
      </w:r>
      <w:proofErr w:type="gramEnd"/>
    </w:p>
    <w:p w:rsidR="00FD1772" w:rsidRDefault="00FD1772" w:rsidP="00FD1772">
      <w:pPr>
        <w:spacing w:after="0"/>
        <w:jc w:val="both"/>
        <w:rPr>
          <w:rFonts w:ascii="Times New Roman" w:hAnsi="Times New Roman" w:cs="Times New Roman"/>
        </w:rPr>
      </w:pPr>
      <w:r w:rsidRPr="00FD1772">
        <w:rPr>
          <w:rFonts w:ascii="Times New Roman" w:hAnsi="Times New Roman" w:cs="Times New Roman"/>
          <w:u w:val="single"/>
        </w:rPr>
        <w:t>Plateforme de retournement à Damas</w:t>
      </w:r>
      <w:r>
        <w:rPr>
          <w:rFonts w:ascii="Times New Roman" w:hAnsi="Times New Roman" w:cs="Times New Roman"/>
        </w:rPr>
        <w:t> : les travaux sont achevés</w:t>
      </w:r>
    </w:p>
    <w:p w:rsidR="00D31A5B" w:rsidRDefault="00CC4501" w:rsidP="00FD1772">
      <w:pPr>
        <w:spacing w:after="0"/>
        <w:jc w:val="both"/>
        <w:rPr>
          <w:rFonts w:ascii="Times New Roman" w:hAnsi="Times New Roman" w:cs="Times New Roman"/>
        </w:rPr>
      </w:pPr>
      <w:r>
        <w:rPr>
          <w:rFonts w:ascii="Times New Roman" w:hAnsi="Times New Roman" w:cs="Times New Roman"/>
          <w:u w:val="single"/>
        </w:rPr>
        <w:t>Assainissement </w:t>
      </w:r>
      <w:r w:rsidRPr="00CC4501">
        <w:rPr>
          <w:rFonts w:ascii="Times New Roman" w:hAnsi="Times New Roman" w:cs="Times New Roman"/>
        </w:rPr>
        <w:t xml:space="preserve">: </w:t>
      </w:r>
      <w:r>
        <w:rPr>
          <w:rFonts w:ascii="Times New Roman" w:hAnsi="Times New Roman" w:cs="Times New Roman"/>
        </w:rPr>
        <w:t xml:space="preserve">la communauté de communes va revoir son contrat avec </w:t>
      </w:r>
      <w:proofErr w:type="spellStart"/>
      <w:r>
        <w:rPr>
          <w:rFonts w:ascii="Times New Roman" w:hAnsi="Times New Roman" w:cs="Times New Roman"/>
        </w:rPr>
        <w:t>Hydr’elec</w:t>
      </w:r>
      <w:proofErr w:type="spellEnd"/>
      <w:r>
        <w:rPr>
          <w:rFonts w:ascii="Times New Roman" w:hAnsi="Times New Roman" w:cs="Times New Roman"/>
        </w:rPr>
        <w:t>. Il est envisagé d’embaucher une personne pour assurer le contrôle des assainissements</w:t>
      </w:r>
      <w:r w:rsidR="00D31A5B">
        <w:rPr>
          <w:rFonts w:ascii="Times New Roman" w:hAnsi="Times New Roman" w:cs="Times New Roman"/>
        </w:rPr>
        <w:t>.</w:t>
      </w:r>
    </w:p>
    <w:p w:rsidR="00D31A5B" w:rsidRDefault="00D31A5B" w:rsidP="00FD1772">
      <w:pPr>
        <w:spacing w:after="0"/>
        <w:jc w:val="both"/>
        <w:rPr>
          <w:rFonts w:ascii="Times New Roman" w:hAnsi="Times New Roman" w:cs="Times New Roman"/>
        </w:rPr>
      </w:pPr>
      <w:r>
        <w:rPr>
          <w:rFonts w:ascii="Times New Roman" w:hAnsi="Times New Roman" w:cs="Times New Roman"/>
        </w:rPr>
        <w:t>Tarifs pour un contrôle d’une installation neuve : 230€</w:t>
      </w:r>
    </w:p>
    <w:p w:rsidR="00D31A5B" w:rsidRDefault="00D31A5B" w:rsidP="00FD1772">
      <w:pPr>
        <w:spacing w:after="0"/>
        <w:jc w:val="both"/>
        <w:rPr>
          <w:rFonts w:ascii="Times New Roman" w:hAnsi="Times New Roman" w:cs="Times New Roman"/>
        </w:rPr>
      </w:pPr>
      <w:r>
        <w:rPr>
          <w:rFonts w:ascii="Times New Roman" w:hAnsi="Times New Roman" w:cs="Times New Roman"/>
        </w:rPr>
        <w:t xml:space="preserve">                                      D’une installation existante : 175€</w:t>
      </w:r>
    </w:p>
    <w:p w:rsidR="00D31A5B" w:rsidRDefault="00D31A5B" w:rsidP="00FD1772">
      <w:pPr>
        <w:spacing w:after="0"/>
        <w:jc w:val="both"/>
        <w:rPr>
          <w:rFonts w:ascii="Times New Roman" w:hAnsi="Times New Roman" w:cs="Times New Roman"/>
        </w:rPr>
      </w:pPr>
      <w:r>
        <w:rPr>
          <w:rFonts w:ascii="Times New Roman" w:hAnsi="Times New Roman" w:cs="Times New Roman"/>
        </w:rPr>
        <w:t xml:space="preserve">                                      Dans le cadre d’une vente : 190€</w:t>
      </w:r>
    </w:p>
    <w:p w:rsidR="00CC4501" w:rsidRDefault="00D31A5B" w:rsidP="00FD1772">
      <w:pPr>
        <w:spacing w:after="0"/>
        <w:jc w:val="both"/>
        <w:rPr>
          <w:rFonts w:ascii="Times New Roman" w:hAnsi="Times New Roman" w:cs="Times New Roman"/>
          <w:u w:val="single"/>
        </w:rPr>
      </w:pPr>
      <w:r w:rsidRPr="00D31A5B">
        <w:rPr>
          <w:rFonts w:ascii="Times New Roman" w:hAnsi="Times New Roman" w:cs="Times New Roman"/>
          <w:u w:val="single"/>
        </w:rPr>
        <w:t>Plan Local d’Urbanisme (PLU)</w:t>
      </w:r>
      <w:r>
        <w:rPr>
          <w:rFonts w:ascii="Times New Roman" w:hAnsi="Times New Roman" w:cs="Times New Roman"/>
        </w:rPr>
        <w:t xml:space="preserve"> : instauration d’un </w:t>
      </w:r>
      <w:proofErr w:type="spellStart"/>
      <w:r>
        <w:rPr>
          <w:rFonts w:ascii="Times New Roman" w:hAnsi="Times New Roman" w:cs="Times New Roman"/>
        </w:rPr>
        <w:t>PLUi</w:t>
      </w:r>
      <w:proofErr w:type="spellEnd"/>
      <w:r>
        <w:rPr>
          <w:rFonts w:ascii="Times New Roman" w:hAnsi="Times New Roman" w:cs="Times New Roman"/>
        </w:rPr>
        <w:t xml:space="preserve"> sur toutes les communes de la Communauté de Communes (1 ha constructible)</w:t>
      </w:r>
      <w:r w:rsidR="00CC4501">
        <w:rPr>
          <w:rFonts w:ascii="Times New Roman" w:hAnsi="Times New Roman" w:cs="Times New Roman"/>
        </w:rPr>
        <w:t xml:space="preserve"> </w:t>
      </w:r>
    </w:p>
    <w:p w:rsidR="005F7589" w:rsidRDefault="005F7589"/>
    <w:p w:rsidR="00443D89" w:rsidRDefault="00443D89"/>
    <w:p w:rsidR="00CB548A" w:rsidRDefault="00CB548A"/>
    <w:p w:rsidR="00CB548A" w:rsidRDefault="00CB548A"/>
    <w:p w:rsidR="00CB548A" w:rsidRDefault="00CB548A"/>
    <w:p w:rsidR="00CB548A" w:rsidRDefault="00CB548A"/>
    <w:p w:rsidR="00CB548A" w:rsidRDefault="00CB548A"/>
    <w:p w:rsidR="00CB548A" w:rsidRDefault="00CB548A"/>
    <w:p w:rsidR="00CB548A" w:rsidRDefault="00CB548A"/>
    <w:p w:rsidR="00CB548A" w:rsidRDefault="00CB548A"/>
    <w:p w:rsidR="00CB548A" w:rsidRDefault="00CB548A"/>
    <w:p w:rsidR="00CB548A" w:rsidRDefault="00CB548A"/>
    <w:p w:rsidR="00CB548A" w:rsidRDefault="00CB548A"/>
    <w:p w:rsidR="00443D89" w:rsidRPr="00897A09" w:rsidRDefault="00443D89" w:rsidP="00443D89">
      <w:pPr>
        <w:autoSpaceDE w:val="0"/>
        <w:autoSpaceDN w:val="0"/>
        <w:adjustRightInd w:val="0"/>
        <w:spacing w:after="3"/>
        <w:jc w:val="both"/>
      </w:pPr>
    </w:p>
    <w:tbl>
      <w:tblPr>
        <w:tblW w:w="9782" w:type="dxa"/>
        <w:tblInd w:w="-289" w:type="dxa"/>
        <w:tblLayout w:type="fixed"/>
        <w:tblLook w:val="04A0" w:firstRow="1" w:lastRow="0" w:firstColumn="1" w:lastColumn="0" w:noHBand="0" w:noVBand="1"/>
      </w:tblPr>
      <w:tblGrid>
        <w:gridCol w:w="1418"/>
        <w:gridCol w:w="8364"/>
      </w:tblGrid>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001</w:t>
            </w:r>
          </w:p>
        </w:tc>
        <w:tc>
          <w:tcPr>
            <w:tcW w:w="8364" w:type="dxa"/>
            <w:tcBorders>
              <w:top w:val="single" w:sz="4" w:space="0" w:color="000000"/>
              <w:left w:val="single" w:sz="4" w:space="0" w:color="000000"/>
              <w:bottom w:val="single" w:sz="4" w:space="0" w:color="000000"/>
              <w:right w:val="single" w:sz="4" w:space="0" w:color="000000"/>
            </w:tcBorders>
            <w:hideMark/>
          </w:tcPr>
          <w:p w:rsidR="00443D89" w:rsidRPr="00443D89" w:rsidRDefault="00443D89" w:rsidP="004820AD">
            <w:pPr>
              <w:tabs>
                <w:tab w:val="left" w:pos="426"/>
              </w:tabs>
              <w:spacing w:line="256" w:lineRule="auto"/>
              <w:ind w:right="1701"/>
              <w:jc w:val="both"/>
              <w:rPr>
                <w:rFonts w:ascii="Times New Roman" w:hAnsi="Times New Roman" w:cs="Times New Roman"/>
              </w:rPr>
            </w:pPr>
            <w:r w:rsidRPr="00443D89">
              <w:rPr>
                <w:rFonts w:ascii="Times New Roman" w:hAnsi="Times New Roman" w:cs="Times New Roman"/>
              </w:rPr>
              <w:t xml:space="preserve">RODP </w:t>
            </w:r>
            <w:proofErr w:type="spellStart"/>
            <w:r w:rsidRPr="00443D89">
              <w:rPr>
                <w:rFonts w:ascii="Times New Roman" w:hAnsi="Times New Roman" w:cs="Times New Roman"/>
              </w:rPr>
              <w:t>telecom</w:t>
            </w:r>
            <w:proofErr w:type="spellEnd"/>
            <w:r w:rsidRPr="00443D89">
              <w:rPr>
                <w:rFonts w:ascii="Times New Roman" w:hAnsi="Times New Roman" w:cs="Times New Roman"/>
              </w:rPr>
              <w:t xml:space="preserve"> 2025</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002</w:t>
            </w:r>
          </w:p>
        </w:tc>
        <w:tc>
          <w:tcPr>
            <w:tcW w:w="8364" w:type="dxa"/>
            <w:tcBorders>
              <w:top w:val="single" w:sz="4" w:space="0" w:color="000000"/>
              <w:left w:val="single" w:sz="4" w:space="0" w:color="000000"/>
              <w:bottom w:val="single" w:sz="4" w:space="0" w:color="000000"/>
              <w:right w:val="single" w:sz="4" w:space="0" w:color="000000"/>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Redevance pour occupation du domaine public par les ouvrages d'électricité 2025</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003</w:t>
            </w:r>
          </w:p>
        </w:tc>
        <w:tc>
          <w:tcPr>
            <w:tcW w:w="8364" w:type="dxa"/>
            <w:tcBorders>
              <w:top w:val="single" w:sz="4" w:space="0" w:color="000000"/>
              <w:left w:val="single" w:sz="4" w:space="0" w:color="000000"/>
              <w:bottom w:val="single" w:sz="4" w:space="0" w:color="000000"/>
              <w:right w:val="single" w:sz="4" w:space="0" w:color="000000"/>
            </w:tcBorders>
            <w:hideMark/>
          </w:tcPr>
          <w:p w:rsidR="00443D89" w:rsidRPr="00443D89" w:rsidRDefault="00443D89" w:rsidP="004820AD">
            <w:pPr>
              <w:autoSpaceDE w:val="0"/>
              <w:autoSpaceDN w:val="0"/>
              <w:adjustRightInd w:val="0"/>
              <w:spacing w:line="256" w:lineRule="auto"/>
              <w:jc w:val="both"/>
              <w:rPr>
                <w:rFonts w:ascii="Times New Roman" w:hAnsi="Times New Roman" w:cs="Times New Roman"/>
              </w:rPr>
            </w:pPr>
            <w:r w:rsidRPr="00443D89">
              <w:rPr>
                <w:rFonts w:ascii="Times New Roman" w:hAnsi="Times New Roman" w:cs="Times New Roman"/>
              </w:rPr>
              <w:t>Soutien projet touristique de la commune au Merle</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004</w:t>
            </w:r>
          </w:p>
        </w:tc>
        <w:tc>
          <w:tcPr>
            <w:tcW w:w="8364" w:type="dxa"/>
            <w:tcBorders>
              <w:top w:val="single" w:sz="4" w:space="0" w:color="000000"/>
              <w:left w:val="single" w:sz="4" w:space="0" w:color="000000"/>
              <w:bottom w:val="single" w:sz="4" w:space="0" w:color="000000"/>
              <w:right w:val="single" w:sz="4" w:space="0" w:color="000000"/>
            </w:tcBorders>
            <w:hideMark/>
          </w:tcPr>
          <w:p w:rsidR="00443D89" w:rsidRPr="00443D89" w:rsidRDefault="00443D89" w:rsidP="004820AD">
            <w:pPr>
              <w:tabs>
                <w:tab w:val="left" w:pos="0"/>
              </w:tabs>
              <w:spacing w:line="256" w:lineRule="auto"/>
              <w:jc w:val="both"/>
              <w:rPr>
                <w:rFonts w:ascii="Times New Roman" w:hAnsi="Times New Roman" w:cs="Times New Roman"/>
              </w:rPr>
            </w:pPr>
            <w:r w:rsidRPr="00443D89">
              <w:rPr>
                <w:rFonts w:ascii="Times New Roman" w:hAnsi="Times New Roman" w:cs="Times New Roman"/>
              </w:rPr>
              <w:t xml:space="preserve">Renouvellement convention avec le cabinet vétérinaire de Saint </w:t>
            </w:r>
            <w:proofErr w:type="spellStart"/>
            <w:r w:rsidRPr="00443D89">
              <w:rPr>
                <w:rFonts w:ascii="Times New Roman" w:hAnsi="Times New Roman" w:cs="Times New Roman"/>
              </w:rPr>
              <w:t>Saulge</w:t>
            </w:r>
            <w:proofErr w:type="spellEnd"/>
            <w:r w:rsidRPr="00443D89">
              <w:rPr>
                <w:rFonts w:ascii="Times New Roman" w:hAnsi="Times New Roman" w:cs="Times New Roman"/>
              </w:rPr>
              <w:t xml:space="preserve"> en 2025</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005</w:t>
            </w:r>
          </w:p>
        </w:tc>
        <w:tc>
          <w:tcPr>
            <w:tcW w:w="8364" w:type="dxa"/>
            <w:tcBorders>
              <w:top w:val="single" w:sz="4" w:space="0" w:color="000000"/>
              <w:left w:val="single" w:sz="4" w:space="0" w:color="000000"/>
              <w:bottom w:val="single" w:sz="4" w:space="0" w:color="000000"/>
              <w:right w:val="single" w:sz="4" w:space="0" w:color="000000"/>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Procédure d'expulsion : désignation d'un avocat</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006</w:t>
            </w:r>
          </w:p>
        </w:tc>
        <w:tc>
          <w:tcPr>
            <w:tcW w:w="8364" w:type="dxa"/>
            <w:tcBorders>
              <w:top w:val="single" w:sz="4" w:space="0" w:color="000000"/>
              <w:left w:val="single" w:sz="4" w:space="0" w:color="000000"/>
              <w:bottom w:val="single" w:sz="4" w:space="0" w:color="000000"/>
              <w:right w:val="single" w:sz="4" w:space="0" w:color="000000"/>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 xml:space="preserve">Demande de subvention par le Maison Rurale de l'Anse "La Petite </w:t>
            </w:r>
            <w:proofErr w:type="spellStart"/>
            <w:r w:rsidRPr="00443D89">
              <w:rPr>
                <w:rFonts w:ascii="Times New Roman" w:hAnsi="Times New Roman" w:cs="Times New Roman"/>
              </w:rPr>
              <w:t>Gonthière</w:t>
            </w:r>
            <w:proofErr w:type="spellEnd"/>
            <w:r w:rsidRPr="00443D89">
              <w:rPr>
                <w:rFonts w:ascii="Times New Roman" w:hAnsi="Times New Roman" w:cs="Times New Roman"/>
              </w:rPr>
              <w:t>"</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007</w:t>
            </w:r>
          </w:p>
        </w:tc>
        <w:tc>
          <w:tcPr>
            <w:tcW w:w="8364" w:type="dxa"/>
            <w:tcBorders>
              <w:top w:val="single" w:sz="4" w:space="0" w:color="000000"/>
              <w:left w:val="single" w:sz="4" w:space="0" w:color="000000"/>
              <w:bottom w:val="single" w:sz="4" w:space="0" w:color="000000"/>
              <w:right w:val="single" w:sz="4" w:space="0" w:color="000000"/>
            </w:tcBorders>
          </w:tcPr>
          <w:p w:rsidR="00443D89" w:rsidRPr="00443D89" w:rsidRDefault="00443D89" w:rsidP="004820AD">
            <w:pPr>
              <w:tabs>
                <w:tab w:val="left" w:pos="9072"/>
              </w:tabs>
              <w:spacing w:line="256" w:lineRule="auto"/>
              <w:jc w:val="both"/>
              <w:rPr>
                <w:rFonts w:ascii="Times New Roman" w:hAnsi="Times New Roman" w:cs="Times New Roman"/>
              </w:rPr>
            </w:pPr>
            <w:r w:rsidRPr="00443D89">
              <w:rPr>
                <w:rFonts w:ascii="Times New Roman" w:hAnsi="Times New Roman" w:cs="Times New Roman"/>
              </w:rPr>
              <w:t xml:space="preserve">Demande soutien financier par </w:t>
            </w:r>
            <w:proofErr w:type="spellStart"/>
            <w:r w:rsidRPr="00443D89">
              <w:rPr>
                <w:rFonts w:ascii="Times New Roman" w:hAnsi="Times New Roman" w:cs="Times New Roman"/>
              </w:rPr>
              <w:t>Sceni</w:t>
            </w:r>
            <w:proofErr w:type="spellEnd"/>
            <w:r w:rsidRPr="00443D89">
              <w:rPr>
                <w:rFonts w:ascii="Times New Roman" w:hAnsi="Times New Roman" w:cs="Times New Roman"/>
              </w:rPr>
              <w:t xml:space="preserve"> Qua Non pour renouvellement matériel et modernisation</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008</w:t>
            </w:r>
          </w:p>
        </w:tc>
        <w:tc>
          <w:tcPr>
            <w:tcW w:w="8364" w:type="dxa"/>
            <w:tcBorders>
              <w:top w:val="single" w:sz="4" w:space="0" w:color="000000"/>
              <w:left w:val="single" w:sz="4" w:space="0" w:color="000000"/>
              <w:bottom w:val="single" w:sz="4" w:space="0" w:color="000000"/>
              <w:right w:val="single" w:sz="4" w:space="0" w:color="000000"/>
            </w:tcBorders>
          </w:tcPr>
          <w:p w:rsidR="00443D89" w:rsidRPr="00443D89" w:rsidRDefault="00443D89" w:rsidP="004820AD">
            <w:pPr>
              <w:tabs>
                <w:tab w:val="left" w:pos="9072"/>
              </w:tabs>
              <w:spacing w:line="256" w:lineRule="auto"/>
              <w:jc w:val="both"/>
              <w:rPr>
                <w:rFonts w:ascii="Times New Roman" w:hAnsi="Times New Roman" w:cs="Times New Roman"/>
              </w:rPr>
            </w:pPr>
            <w:r w:rsidRPr="00443D89">
              <w:rPr>
                <w:rFonts w:ascii="Times New Roman" w:hAnsi="Times New Roman" w:cs="Times New Roman"/>
              </w:rPr>
              <w:t>Plan de financement :  travaux 2025 sur réseau d'eau</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009</w:t>
            </w:r>
          </w:p>
        </w:tc>
        <w:tc>
          <w:tcPr>
            <w:tcW w:w="8364" w:type="dxa"/>
            <w:tcBorders>
              <w:top w:val="single" w:sz="4" w:space="0" w:color="000000"/>
              <w:left w:val="single" w:sz="4" w:space="0" w:color="000000"/>
              <w:bottom w:val="single" w:sz="4" w:space="0" w:color="000000"/>
              <w:right w:val="single" w:sz="4" w:space="0" w:color="000000"/>
            </w:tcBorders>
          </w:tcPr>
          <w:p w:rsidR="00443D89" w:rsidRPr="00443D89" w:rsidRDefault="00443D89" w:rsidP="004820AD">
            <w:pPr>
              <w:tabs>
                <w:tab w:val="left" w:pos="9072"/>
              </w:tabs>
              <w:spacing w:line="256" w:lineRule="auto"/>
              <w:jc w:val="both"/>
              <w:rPr>
                <w:rFonts w:ascii="Times New Roman" w:hAnsi="Times New Roman" w:cs="Times New Roman"/>
              </w:rPr>
            </w:pPr>
            <w:r w:rsidRPr="00443D89">
              <w:rPr>
                <w:rFonts w:ascii="Times New Roman" w:hAnsi="Times New Roman" w:cs="Times New Roman"/>
              </w:rPr>
              <w:t>Fongibilité des crédits pour l'année 2025</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010</w:t>
            </w:r>
          </w:p>
        </w:tc>
        <w:tc>
          <w:tcPr>
            <w:tcW w:w="8364" w:type="dxa"/>
            <w:tcBorders>
              <w:top w:val="single" w:sz="4" w:space="0" w:color="000000"/>
              <w:left w:val="single" w:sz="4" w:space="0" w:color="000000"/>
              <w:bottom w:val="single" w:sz="4" w:space="0" w:color="000000"/>
              <w:right w:val="single" w:sz="4" w:space="0" w:color="000000"/>
            </w:tcBorders>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Déclassement d’une section de la VC14 du PDIPR</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011</w:t>
            </w:r>
          </w:p>
        </w:tc>
        <w:tc>
          <w:tcPr>
            <w:tcW w:w="8364" w:type="dxa"/>
            <w:tcBorders>
              <w:top w:val="single" w:sz="4" w:space="0" w:color="000000"/>
              <w:left w:val="single" w:sz="4" w:space="0" w:color="000000"/>
              <w:bottom w:val="single" w:sz="4" w:space="0" w:color="000000"/>
              <w:right w:val="single" w:sz="4" w:space="0" w:color="000000"/>
            </w:tcBorders>
          </w:tcPr>
          <w:p w:rsidR="00443D89" w:rsidRPr="00443D89" w:rsidRDefault="00443D89" w:rsidP="004820AD">
            <w:pPr>
              <w:spacing w:line="256" w:lineRule="auto"/>
              <w:jc w:val="both"/>
              <w:rPr>
                <w:rFonts w:ascii="Times New Roman" w:hAnsi="Times New Roman" w:cs="Times New Roman"/>
              </w:rPr>
            </w:pPr>
            <w:r>
              <w:rPr>
                <w:rFonts w:ascii="Times New Roman" w:hAnsi="Times New Roman" w:cs="Times New Roman"/>
              </w:rPr>
              <w:t>Tarifs eau 2025</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Absent(s)</w:t>
            </w:r>
          </w:p>
        </w:tc>
        <w:tc>
          <w:tcPr>
            <w:tcW w:w="8364" w:type="dxa"/>
            <w:tcBorders>
              <w:top w:val="single" w:sz="4" w:space="0" w:color="000000"/>
              <w:left w:val="single" w:sz="4" w:space="0" w:color="000000"/>
              <w:bottom w:val="single" w:sz="4" w:space="0" w:color="000000"/>
              <w:right w:val="single" w:sz="4" w:space="0" w:color="000000"/>
            </w:tcBorders>
            <w:hideMark/>
          </w:tcPr>
          <w:p w:rsidR="00443D89" w:rsidRPr="00443D89" w:rsidRDefault="00443D89" w:rsidP="00443D89">
            <w:pPr>
              <w:spacing w:after="0" w:line="256" w:lineRule="auto"/>
              <w:jc w:val="both"/>
              <w:rPr>
                <w:rFonts w:ascii="Times New Roman" w:hAnsi="Times New Roman" w:cs="Times New Roman"/>
              </w:rPr>
            </w:pPr>
            <w:r w:rsidRPr="00443D89">
              <w:rPr>
                <w:rFonts w:ascii="Times New Roman" w:hAnsi="Times New Roman" w:cs="Times New Roman"/>
              </w:rPr>
              <w:t xml:space="preserve">Madame TREILLOU procuration à M. GALIN </w:t>
            </w:r>
          </w:p>
          <w:p w:rsidR="00443D89" w:rsidRPr="00443D89" w:rsidRDefault="00443D89" w:rsidP="00443D89">
            <w:pPr>
              <w:spacing w:line="256" w:lineRule="auto"/>
              <w:jc w:val="both"/>
              <w:rPr>
                <w:rFonts w:ascii="Times New Roman" w:hAnsi="Times New Roman" w:cs="Times New Roman"/>
              </w:rPr>
            </w:pPr>
            <w:r w:rsidRPr="00443D89">
              <w:rPr>
                <w:rFonts w:ascii="Times New Roman" w:hAnsi="Times New Roman" w:cs="Times New Roman"/>
              </w:rPr>
              <w:t>Madame SVAROVSKY procuration à M. LEBLANC</w:t>
            </w:r>
          </w:p>
        </w:tc>
      </w:tr>
      <w:tr w:rsidR="00443D89" w:rsidRPr="00897A09" w:rsidTr="004820AD">
        <w:trPr>
          <w:trHeight w:val="255"/>
        </w:trPr>
        <w:tc>
          <w:tcPr>
            <w:tcW w:w="1418" w:type="dxa"/>
            <w:tcBorders>
              <w:top w:val="single" w:sz="4" w:space="0" w:color="000000"/>
              <w:left w:val="single" w:sz="4" w:space="0" w:color="000000"/>
              <w:bottom w:val="single" w:sz="4" w:space="0" w:color="000000"/>
              <w:right w:val="nil"/>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Secrétaire</w:t>
            </w:r>
          </w:p>
        </w:tc>
        <w:tc>
          <w:tcPr>
            <w:tcW w:w="8364" w:type="dxa"/>
            <w:tcBorders>
              <w:top w:val="single" w:sz="4" w:space="0" w:color="000000"/>
              <w:left w:val="single" w:sz="4" w:space="0" w:color="000000"/>
              <w:bottom w:val="single" w:sz="4" w:space="0" w:color="000000"/>
              <w:right w:val="single" w:sz="4" w:space="0" w:color="000000"/>
            </w:tcBorders>
            <w:hideMark/>
          </w:tcPr>
          <w:p w:rsidR="00443D89" w:rsidRPr="00443D89" w:rsidRDefault="00443D89" w:rsidP="004820AD">
            <w:pPr>
              <w:spacing w:line="256" w:lineRule="auto"/>
              <w:jc w:val="both"/>
              <w:rPr>
                <w:rFonts w:ascii="Times New Roman" w:hAnsi="Times New Roman" w:cs="Times New Roman"/>
              </w:rPr>
            </w:pPr>
            <w:r w:rsidRPr="00443D89">
              <w:rPr>
                <w:rFonts w:ascii="Times New Roman" w:hAnsi="Times New Roman" w:cs="Times New Roman"/>
              </w:rPr>
              <w:t>Mme JOLY</w:t>
            </w:r>
          </w:p>
        </w:tc>
      </w:tr>
    </w:tbl>
    <w:p w:rsidR="00CB548A" w:rsidRDefault="00CB548A" w:rsidP="00443D89">
      <w:pPr>
        <w:tabs>
          <w:tab w:val="left" w:pos="0"/>
        </w:tabs>
        <w:spacing w:after="0"/>
        <w:ind w:right="1701"/>
        <w:jc w:val="both"/>
        <w:rPr>
          <w:b/>
          <w:color w:val="000000"/>
          <w:sz w:val="28"/>
          <w:szCs w:val="28"/>
          <w:shd w:val="clear" w:color="auto" w:fill="FFFFFF"/>
        </w:rPr>
      </w:pPr>
    </w:p>
    <w:p w:rsidR="00CB548A" w:rsidRDefault="00CB548A" w:rsidP="00443D89">
      <w:pPr>
        <w:tabs>
          <w:tab w:val="left" w:pos="0"/>
        </w:tabs>
        <w:spacing w:after="0"/>
        <w:ind w:right="1701"/>
        <w:jc w:val="both"/>
        <w:rPr>
          <w:b/>
          <w:color w:val="000000"/>
          <w:sz w:val="28"/>
          <w:szCs w:val="28"/>
          <w:shd w:val="clear" w:color="auto" w:fill="FFFFFF"/>
        </w:rPr>
      </w:pPr>
    </w:p>
    <w:p w:rsidR="00443D89" w:rsidRDefault="00443D89" w:rsidP="00443D89">
      <w:pPr>
        <w:tabs>
          <w:tab w:val="left" w:pos="0"/>
        </w:tabs>
        <w:ind w:right="1701"/>
        <w:jc w:val="both"/>
        <w:rPr>
          <w:b/>
          <w:color w:val="000000"/>
          <w:sz w:val="28"/>
          <w:szCs w:val="28"/>
          <w:shd w:val="clear" w:color="auto" w:fill="FFFFFF"/>
        </w:rPr>
      </w:pPr>
    </w:p>
    <w:tbl>
      <w:tblPr>
        <w:tblW w:w="13692" w:type="dxa"/>
        <w:tblInd w:w="103" w:type="dxa"/>
        <w:tblLayout w:type="fixed"/>
        <w:tblLook w:val="04A0" w:firstRow="1" w:lastRow="0" w:firstColumn="1" w:lastColumn="0" w:noHBand="0" w:noVBand="1"/>
      </w:tblPr>
      <w:tblGrid>
        <w:gridCol w:w="4428"/>
        <w:gridCol w:w="3828"/>
        <w:gridCol w:w="1608"/>
        <w:gridCol w:w="3828"/>
      </w:tblGrid>
      <w:tr w:rsidR="00443D89" w:rsidRPr="00367E7F" w:rsidTr="004820AD">
        <w:trPr>
          <w:gridAfter w:val="1"/>
          <w:wAfter w:w="3828" w:type="dxa"/>
        </w:trPr>
        <w:tc>
          <w:tcPr>
            <w:tcW w:w="4428" w:type="dxa"/>
          </w:tcPr>
          <w:p w:rsidR="00443D89" w:rsidRPr="00367E7F" w:rsidRDefault="00443D89" w:rsidP="004820AD">
            <w:pPr>
              <w:spacing w:line="256" w:lineRule="auto"/>
              <w:jc w:val="both"/>
            </w:pPr>
            <w:r>
              <w:rPr>
                <w:b/>
                <w:u w:val="single"/>
              </w:rPr>
              <w:t>P</w:t>
            </w:r>
            <w:r w:rsidRPr="00367E7F">
              <w:rPr>
                <w:b/>
                <w:u w:val="single"/>
              </w:rPr>
              <w:t>résents</w:t>
            </w:r>
          </w:p>
          <w:p w:rsidR="00443D89" w:rsidRDefault="00443D89" w:rsidP="004820AD">
            <w:pPr>
              <w:spacing w:line="256" w:lineRule="auto"/>
              <w:jc w:val="both"/>
            </w:pPr>
          </w:p>
          <w:p w:rsidR="00443D89" w:rsidRDefault="00443D89" w:rsidP="004820AD">
            <w:pPr>
              <w:spacing w:line="256" w:lineRule="auto"/>
              <w:jc w:val="both"/>
            </w:pPr>
            <w:r>
              <w:t>Guy BERNARD</w:t>
            </w:r>
          </w:p>
          <w:p w:rsidR="00443D89" w:rsidRDefault="00443D89" w:rsidP="004820AD">
            <w:pPr>
              <w:spacing w:line="256" w:lineRule="auto"/>
              <w:jc w:val="both"/>
            </w:pPr>
          </w:p>
          <w:p w:rsidR="00443D89" w:rsidRDefault="00443D89" w:rsidP="004820AD">
            <w:pPr>
              <w:spacing w:line="256" w:lineRule="auto"/>
              <w:jc w:val="both"/>
            </w:pPr>
          </w:p>
          <w:p w:rsidR="00443D89" w:rsidRPr="00367E7F" w:rsidRDefault="00443D89" w:rsidP="004820AD">
            <w:pPr>
              <w:spacing w:line="256" w:lineRule="auto"/>
              <w:jc w:val="both"/>
            </w:pPr>
          </w:p>
          <w:p w:rsidR="00443D89" w:rsidRPr="00367E7F" w:rsidRDefault="00443D89" w:rsidP="004820AD">
            <w:pPr>
              <w:spacing w:line="256" w:lineRule="auto"/>
              <w:ind w:right="-204"/>
              <w:jc w:val="both"/>
            </w:pPr>
            <w:r w:rsidRPr="00367E7F">
              <w:t>Jérémie CHENOUARD</w:t>
            </w:r>
          </w:p>
          <w:p w:rsidR="00443D89" w:rsidRPr="00367E7F" w:rsidRDefault="00443D89" w:rsidP="004820AD">
            <w:pPr>
              <w:spacing w:line="256" w:lineRule="auto"/>
              <w:jc w:val="both"/>
            </w:pPr>
          </w:p>
          <w:p w:rsidR="00443D89" w:rsidRPr="00367E7F" w:rsidRDefault="00443D89" w:rsidP="004820AD">
            <w:pPr>
              <w:spacing w:line="256" w:lineRule="auto"/>
              <w:jc w:val="both"/>
            </w:pPr>
          </w:p>
          <w:p w:rsidR="00443D89" w:rsidRPr="00367E7F" w:rsidRDefault="00443D89" w:rsidP="004820AD">
            <w:pPr>
              <w:spacing w:line="256" w:lineRule="auto"/>
              <w:jc w:val="both"/>
            </w:pPr>
          </w:p>
        </w:tc>
        <w:tc>
          <w:tcPr>
            <w:tcW w:w="5436" w:type="dxa"/>
            <w:gridSpan w:val="2"/>
          </w:tcPr>
          <w:p w:rsidR="00443D89" w:rsidRPr="00634F15" w:rsidRDefault="00443D89" w:rsidP="004820AD">
            <w:pPr>
              <w:snapToGrid w:val="0"/>
              <w:spacing w:line="256" w:lineRule="auto"/>
              <w:jc w:val="both"/>
              <w:rPr>
                <w:b/>
                <w:u w:val="single"/>
              </w:rPr>
            </w:pPr>
            <w:r w:rsidRPr="00634F15">
              <w:rPr>
                <w:b/>
                <w:u w:val="single"/>
              </w:rPr>
              <w:t>Signatures</w:t>
            </w:r>
          </w:p>
          <w:p w:rsidR="00443D89" w:rsidRPr="00634F15" w:rsidRDefault="00443D89" w:rsidP="004820AD">
            <w:pPr>
              <w:spacing w:line="256" w:lineRule="auto"/>
              <w:jc w:val="both"/>
              <w:rPr>
                <w:b/>
                <w:u w:val="single"/>
              </w:rPr>
            </w:pPr>
          </w:p>
        </w:tc>
      </w:tr>
      <w:tr w:rsidR="00443D89" w:rsidRPr="00EE6B05" w:rsidTr="004820AD">
        <w:tc>
          <w:tcPr>
            <w:tcW w:w="8256" w:type="dxa"/>
            <w:gridSpan w:val="2"/>
          </w:tcPr>
          <w:p w:rsidR="00443D89" w:rsidRPr="00EE6B05" w:rsidRDefault="00443D89" w:rsidP="004820AD">
            <w:pPr>
              <w:spacing w:line="256" w:lineRule="auto"/>
              <w:jc w:val="both"/>
            </w:pPr>
            <w:r w:rsidRPr="00EE6B05">
              <w:t>Vincent GALIN</w:t>
            </w: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r w:rsidRPr="00EE6B05">
              <w:lastRenderedPageBreak/>
              <w:t>Jean-Marie GATIGNOL</w:t>
            </w: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r w:rsidRPr="00EE6B05">
              <w:t>Emmanuelle GRISCELLI</w:t>
            </w: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r w:rsidRPr="00EE6B05">
              <w:t>Janine JOLY</w:t>
            </w: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r w:rsidRPr="00EE6B05">
              <w:t>Francis LEBLANC</w:t>
            </w: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r w:rsidRPr="00EE6B05">
              <w:t>Noël ROLIN</w:t>
            </w: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p w:rsidR="00443D89" w:rsidRDefault="00443D89" w:rsidP="004820AD">
            <w:pPr>
              <w:spacing w:line="256" w:lineRule="auto"/>
              <w:jc w:val="both"/>
            </w:pPr>
            <w:r>
              <w:t>Cassandre SVAROVSKY</w:t>
            </w:r>
          </w:p>
          <w:p w:rsidR="00443D89" w:rsidRDefault="00443D89" w:rsidP="004820AD">
            <w:pPr>
              <w:spacing w:line="256" w:lineRule="auto"/>
              <w:jc w:val="both"/>
            </w:pPr>
          </w:p>
          <w:p w:rsidR="00443D89" w:rsidRDefault="00443D89" w:rsidP="004820AD">
            <w:pPr>
              <w:spacing w:line="256" w:lineRule="auto"/>
              <w:jc w:val="both"/>
            </w:pPr>
          </w:p>
          <w:p w:rsidR="00443D89" w:rsidRDefault="00443D89" w:rsidP="00443D89">
            <w:pPr>
              <w:spacing w:line="256" w:lineRule="auto"/>
              <w:jc w:val="both"/>
            </w:pPr>
            <w:r>
              <w:t>Frédérique TREILLOU</w:t>
            </w:r>
          </w:p>
          <w:p w:rsidR="00443D89" w:rsidRDefault="00443D89" w:rsidP="004820AD">
            <w:pPr>
              <w:spacing w:line="256" w:lineRule="auto"/>
              <w:jc w:val="both"/>
            </w:pPr>
          </w:p>
          <w:p w:rsidR="00443D89" w:rsidRDefault="00443D89" w:rsidP="004820AD">
            <w:pPr>
              <w:spacing w:line="256" w:lineRule="auto"/>
              <w:jc w:val="both"/>
            </w:pPr>
          </w:p>
          <w:p w:rsidR="00443D89" w:rsidRDefault="00443D89" w:rsidP="004820AD">
            <w:pPr>
              <w:spacing w:line="256" w:lineRule="auto"/>
              <w:jc w:val="both"/>
            </w:pPr>
          </w:p>
          <w:p w:rsidR="00443D89" w:rsidRPr="00EE6B05" w:rsidRDefault="00443D89" w:rsidP="004820AD">
            <w:pPr>
              <w:spacing w:line="256" w:lineRule="auto"/>
              <w:jc w:val="both"/>
            </w:pPr>
          </w:p>
          <w:p w:rsidR="00443D89" w:rsidRPr="00EE6B05" w:rsidRDefault="00443D89" w:rsidP="004820AD">
            <w:pPr>
              <w:spacing w:line="256" w:lineRule="auto"/>
              <w:jc w:val="both"/>
            </w:pPr>
          </w:p>
        </w:tc>
        <w:tc>
          <w:tcPr>
            <w:tcW w:w="5436" w:type="dxa"/>
            <w:gridSpan w:val="2"/>
          </w:tcPr>
          <w:p w:rsidR="00443D89" w:rsidRPr="00EE6B05" w:rsidRDefault="00443D89" w:rsidP="004820AD">
            <w:pPr>
              <w:snapToGrid w:val="0"/>
              <w:spacing w:line="256" w:lineRule="auto"/>
              <w:jc w:val="both"/>
            </w:pPr>
          </w:p>
          <w:p w:rsidR="00443D89" w:rsidRPr="00EE6B05" w:rsidRDefault="00443D89" w:rsidP="004820AD">
            <w:pPr>
              <w:spacing w:line="256" w:lineRule="auto"/>
              <w:jc w:val="both"/>
            </w:pPr>
          </w:p>
        </w:tc>
      </w:tr>
    </w:tbl>
    <w:p w:rsidR="00443D89" w:rsidRDefault="00443D89"/>
    <w:sectPr w:rsidR="00443D8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8EC" w:rsidRDefault="00A548EC" w:rsidP="00FD1772">
      <w:pPr>
        <w:spacing w:after="0" w:line="240" w:lineRule="auto"/>
      </w:pPr>
      <w:r>
        <w:separator/>
      </w:r>
    </w:p>
  </w:endnote>
  <w:endnote w:type="continuationSeparator" w:id="0">
    <w:p w:rsidR="00A548EC" w:rsidRDefault="00A548EC" w:rsidP="00FD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8EC" w:rsidRDefault="00A548EC" w:rsidP="00FD1772">
      <w:pPr>
        <w:spacing w:after="0" w:line="240" w:lineRule="auto"/>
      </w:pPr>
      <w:r>
        <w:separator/>
      </w:r>
    </w:p>
  </w:footnote>
  <w:footnote w:type="continuationSeparator" w:id="0">
    <w:p w:rsidR="00A548EC" w:rsidRDefault="00A548EC" w:rsidP="00FD1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772" w:rsidRPr="00C07FB6" w:rsidRDefault="00FD1772" w:rsidP="00FD1772">
    <w:pPr>
      <w:tabs>
        <w:tab w:val="left" w:pos="0"/>
      </w:tabs>
      <w:spacing w:after="0"/>
      <w:ind w:right="1701"/>
      <w:jc w:val="both"/>
      <w:rPr>
        <w:rFonts w:ascii="Times New Roman" w:hAnsi="Times New Roman" w:cs="Times New Roman"/>
        <w:b/>
        <w:color w:val="000000"/>
        <w:sz w:val="28"/>
        <w:szCs w:val="28"/>
        <w:shd w:val="clear" w:color="auto" w:fill="FFFFFF"/>
      </w:rPr>
    </w:pPr>
    <w:r w:rsidRPr="00C07FB6">
      <w:rPr>
        <w:rFonts w:ascii="Times New Roman" w:hAnsi="Times New Roman" w:cs="Times New Roman"/>
        <w:b/>
        <w:color w:val="000000"/>
        <w:sz w:val="28"/>
        <w:szCs w:val="28"/>
        <w:shd w:val="clear" w:color="auto" w:fill="FFFFFF"/>
      </w:rPr>
      <w:t>Commune de CRUX LA VILLE</w:t>
    </w:r>
  </w:p>
  <w:p w:rsidR="00FD1772" w:rsidRPr="00FD1772" w:rsidRDefault="00FD1772" w:rsidP="00FD1772">
    <w:pPr>
      <w:tabs>
        <w:tab w:val="left" w:pos="0"/>
      </w:tabs>
      <w:ind w:right="1701"/>
      <w:jc w:val="both"/>
      <w:rPr>
        <w:rFonts w:ascii="Times New Roman" w:hAnsi="Times New Roman" w:cs="Times New Roman"/>
        <w:b/>
        <w:color w:val="000000"/>
        <w:sz w:val="28"/>
        <w:szCs w:val="28"/>
        <w:shd w:val="clear" w:color="auto" w:fill="FFFFFF"/>
      </w:rPr>
    </w:pPr>
    <w:r w:rsidRPr="00C07FB6">
      <w:rPr>
        <w:rFonts w:ascii="Times New Roman" w:hAnsi="Times New Roman" w:cs="Times New Roman"/>
        <w:b/>
        <w:color w:val="000000"/>
        <w:sz w:val="28"/>
        <w:szCs w:val="28"/>
        <w:shd w:val="clear" w:color="auto" w:fill="FFFFFF"/>
      </w:rPr>
      <w:t xml:space="preserve">Séance ordinaire du </w:t>
    </w:r>
    <w:r>
      <w:rPr>
        <w:rFonts w:ascii="Times New Roman" w:hAnsi="Times New Roman" w:cs="Times New Roman"/>
        <w:b/>
        <w:color w:val="000000"/>
        <w:sz w:val="28"/>
        <w:szCs w:val="28"/>
        <w:shd w:val="clear" w:color="auto" w:fill="FFFFFF"/>
      </w:rPr>
      <w:t>19</w:t>
    </w:r>
    <w:r w:rsidRPr="00C07FB6">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février</w:t>
    </w:r>
    <w:r w:rsidRPr="00C07FB6">
      <w:rPr>
        <w:rFonts w:ascii="Times New Roman" w:hAnsi="Times New Roman" w:cs="Times New Roman"/>
        <w:b/>
        <w:color w:val="000000"/>
        <w:sz w:val="28"/>
        <w:szCs w:val="28"/>
        <w:shd w:val="clear" w:color="auto" w:fill="FFFFFF"/>
      </w:rPr>
      <w:t xml:space="preserve"> 202</w:t>
    </w:r>
    <w:r>
      <w:rPr>
        <w:rFonts w:ascii="Times New Roman" w:hAnsi="Times New Roman" w:cs="Times New Roman"/>
        <w:b/>
        <w:color w:val="000000"/>
        <w:sz w:val="28"/>
        <w:szCs w:val="28"/>
        <w:shd w:val="clear" w:color="auto" w:fill="FFFFFF"/>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72"/>
    <w:rsid w:val="00085BA1"/>
    <w:rsid w:val="00102754"/>
    <w:rsid w:val="003D090F"/>
    <w:rsid w:val="00443D89"/>
    <w:rsid w:val="00451A87"/>
    <w:rsid w:val="005869B5"/>
    <w:rsid w:val="005E6ABC"/>
    <w:rsid w:val="005F7589"/>
    <w:rsid w:val="00672A1B"/>
    <w:rsid w:val="00676A4E"/>
    <w:rsid w:val="006912E4"/>
    <w:rsid w:val="007137A7"/>
    <w:rsid w:val="007C0061"/>
    <w:rsid w:val="007E6F25"/>
    <w:rsid w:val="00823B70"/>
    <w:rsid w:val="00A548EC"/>
    <w:rsid w:val="00A744A3"/>
    <w:rsid w:val="00B726F3"/>
    <w:rsid w:val="00BF1C0F"/>
    <w:rsid w:val="00CB548A"/>
    <w:rsid w:val="00CC4501"/>
    <w:rsid w:val="00D31A5B"/>
    <w:rsid w:val="00DF2191"/>
    <w:rsid w:val="00FC69EC"/>
    <w:rsid w:val="00FD1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B352F-56CC-4A5C-8C10-D64FE640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D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1772"/>
    <w:pPr>
      <w:tabs>
        <w:tab w:val="center" w:pos="4536"/>
        <w:tab w:val="right" w:pos="9072"/>
      </w:tabs>
      <w:spacing w:after="0" w:line="240" w:lineRule="auto"/>
    </w:pPr>
  </w:style>
  <w:style w:type="character" w:customStyle="1" w:styleId="En-tteCar">
    <w:name w:val="En-tête Car"/>
    <w:basedOn w:val="Policepardfaut"/>
    <w:link w:val="En-tte"/>
    <w:uiPriority w:val="99"/>
    <w:rsid w:val="00FD1772"/>
  </w:style>
  <w:style w:type="paragraph" w:styleId="Pieddepage">
    <w:name w:val="footer"/>
    <w:basedOn w:val="Normal"/>
    <w:link w:val="PieddepageCar"/>
    <w:uiPriority w:val="99"/>
    <w:unhideWhenUsed/>
    <w:rsid w:val="00FD17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1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2042</Words>
  <Characters>11233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cp:lastPrinted>2025-09-25T08:25:00Z</cp:lastPrinted>
  <dcterms:created xsi:type="dcterms:W3CDTF">2025-09-25T08:56:00Z</dcterms:created>
  <dcterms:modified xsi:type="dcterms:W3CDTF">2025-09-25T08:56:00Z</dcterms:modified>
</cp:coreProperties>
</file>