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001F" w14:textId="77777777" w:rsidR="00846183" w:rsidRDefault="00846183" w:rsidP="00846183">
      <w:pPr>
        <w:spacing w:after="0"/>
        <w:ind w:hanging="142"/>
        <w:rPr>
          <w:b/>
          <w:sz w:val="24"/>
          <w:szCs w:val="24"/>
        </w:rPr>
      </w:pPr>
      <w:r>
        <w:rPr>
          <w:sz w:val="24"/>
          <w:szCs w:val="24"/>
        </w:rPr>
        <w:t xml:space="preserve">Commune de </w:t>
      </w:r>
      <w:r>
        <w:rPr>
          <w:b/>
          <w:sz w:val="24"/>
          <w:szCs w:val="24"/>
        </w:rPr>
        <w:t>JASNEY – 70800</w:t>
      </w:r>
    </w:p>
    <w:p w14:paraId="4678A6F6" w14:textId="77777777" w:rsidR="00846183" w:rsidRDefault="00846183" w:rsidP="00846183">
      <w:pPr>
        <w:spacing w:after="0"/>
        <w:ind w:hanging="142"/>
        <w:rPr>
          <w:b/>
          <w:sz w:val="24"/>
          <w:szCs w:val="24"/>
        </w:rPr>
      </w:pPr>
    </w:p>
    <w:p w14:paraId="1DAA1565" w14:textId="143FB21E" w:rsidR="00846183" w:rsidRDefault="00846183" w:rsidP="00846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</w:rPr>
      </w:pPr>
      <w:r>
        <w:rPr>
          <w:b/>
        </w:rPr>
        <w:t xml:space="preserve">COMPTE-RENDU DE LA REUNION DU CONSEIL MUNICIPAL DU </w:t>
      </w:r>
      <w:r w:rsidR="00FE2840">
        <w:rPr>
          <w:b/>
        </w:rPr>
        <w:t>15 SEPTEMBRE</w:t>
      </w:r>
      <w:r w:rsidR="002F5950">
        <w:rPr>
          <w:b/>
        </w:rPr>
        <w:t xml:space="preserve"> 2025</w:t>
      </w:r>
    </w:p>
    <w:p w14:paraId="210377FE" w14:textId="77777777" w:rsidR="00846183" w:rsidRDefault="00846183" w:rsidP="00846183">
      <w:pPr>
        <w:tabs>
          <w:tab w:val="left" w:pos="-142"/>
        </w:tabs>
        <w:spacing w:after="0"/>
        <w:ind w:left="-142"/>
        <w:jc w:val="both"/>
        <w:rPr>
          <w:i/>
        </w:rPr>
      </w:pPr>
    </w:p>
    <w:p w14:paraId="1D1F1CDF" w14:textId="2C23486E" w:rsidR="00846183" w:rsidRDefault="00846183" w:rsidP="00FE2840">
      <w:pPr>
        <w:tabs>
          <w:tab w:val="left" w:pos="-142"/>
        </w:tabs>
        <w:spacing w:line="240" w:lineRule="auto"/>
        <w:ind w:left="-113"/>
        <w:rPr>
          <w:i/>
        </w:rPr>
      </w:pPr>
      <w:r>
        <w:rPr>
          <w:b/>
          <w:i/>
        </w:rPr>
        <w:t>Présents</w:t>
      </w:r>
      <w:r>
        <w:rPr>
          <w:i/>
        </w:rPr>
        <w:t> : GEROME Jean Daniel, GARRET Laurent,</w:t>
      </w:r>
      <w:r w:rsidR="00FE2840">
        <w:rPr>
          <w:i/>
        </w:rPr>
        <w:t xml:space="preserve"> BORONT Mickaël,</w:t>
      </w:r>
      <w:r w:rsidR="009C4553">
        <w:rPr>
          <w:i/>
        </w:rPr>
        <w:t xml:space="preserve"> </w:t>
      </w:r>
      <w:r>
        <w:rPr>
          <w:i/>
        </w:rPr>
        <w:t>BLEU Sylvain, COLLAS Josette</w:t>
      </w:r>
      <w:r w:rsidR="009C4553">
        <w:rPr>
          <w:i/>
        </w:rPr>
        <w:t xml:space="preserve">, </w:t>
      </w:r>
      <w:r w:rsidR="00FE2840">
        <w:rPr>
          <w:i/>
        </w:rPr>
        <w:t xml:space="preserve">GACON Anne, </w:t>
      </w:r>
      <w:r w:rsidR="009C4553">
        <w:rPr>
          <w:i/>
        </w:rPr>
        <w:t>HUGUENOT Yvette,</w:t>
      </w:r>
      <w:r w:rsidR="00FE2840">
        <w:rPr>
          <w:i/>
        </w:rPr>
        <w:t xml:space="preserve"> RAPENNE Emilie, ROBERT Aude</w:t>
      </w:r>
    </w:p>
    <w:p w14:paraId="4DA3696F" w14:textId="2872903B" w:rsidR="00846183" w:rsidRPr="00FE2840" w:rsidRDefault="00846183" w:rsidP="00FE2840">
      <w:pPr>
        <w:tabs>
          <w:tab w:val="left" w:pos="-142"/>
        </w:tabs>
        <w:spacing w:line="240" w:lineRule="auto"/>
        <w:ind w:left="-113"/>
        <w:rPr>
          <w:iCs/>
        </w:rPr>
      </w:pPr>
      <w:r>
        <w:rPr>
          <w:b/>
          <w:i/>
        </w:rPr>
        <w:t>Absent</w:t>
      </w:r>
      <w:r w:rsidR="002B326B">
        <w:rPr>
          <w:b/>
          <w:i/>
        </w:rPr>
        <w:t>(e)</w:t>
      </w:r>
      <w:r>
        <w:rPr>
          <w:b/>
          <w:i/>
        </w:rPr>
        <w:t>s excusé</w:t>
      </w:r>
      <w:r w:rsidR="002B326B">
        <w:rPr>
          <w:b/>
          <w:i/>
        </w:rPr>
        <w:t>(e)</w:t>
      </w:r>
      <w:r>
        <w:rPr>
          <w:b/>
          <w:i/>
        </w:rPr>
        <w:t>s </w:t>
      </w:r>
      <w:r>
        <w:rPr>
          <w:i/>
        </w:rPr>
        <w:t xml:space="preserve">: </w:t>
      </w:r>
      <w:r w:rsidR="00FE2840">
        <w:rPr>
          <w:i/>
        </w:rPr>
        <w:t>KUENY Stéphane,</w:t>
      </w:r>
      <w:r>
        <w:rPr>
          <w:i/>
        </w:rPr>
        <w:t xml:space="preserve"> TALGUEN Manon</w:t>
      </w:r>
      <w:r w:rsidR="00FE2840">
        <w:rPr>
          <w:i/>
        </w:rPr>
        <w:t xml:space="preserve"> </w:t>
      </w:r>
      <w:r w:rsidR="003379F4">
        <w:rPr>
          <w:i/>
        </w:rPr>
        <w:t xml:space="preserve"> </w:t>
      </w:r>
      <w:r w:rsidR="00FE2840">
        <w:rPr>
          <w:i/>
        </w:rPr>
        <w:t xml:space="preserve"> - </w:t>
      </w:r>
      <w:r w:rsidR="00555810">
        <w:rPr>
          <w:i/>
        </w:rPr>
        <w:t xml:space="preserve"> </w:t>
      </w:r>
      <w:r w:rsidR="00FE2840">
        <w:rPr>
          <w:i/>
        </w:rPr>
        <w:t xml:space="preserve"> </w:t>
      </w:r>
      <w:r w:rsidR="00FE2840" w:rsidRPr="00FE2840">
        <w:rPr>
          <w:iCs/>
        </w:rPr>
        <w:t>La séance est ouverte à 20h30</w:t>
      </w:r>
    </w:p>
    <w:p w14:paraId="532BA716" w14:textId="3098C9B1" w:rsidR="00846183" w:rsidRDefault="00FE2840" w:rsidP="00846183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Subventions</w:t>
      </w:r>
      <w:r w:rsidR="00846183">
        <w:rPr>
          <w:sz w:val="24"/>
          <w:szCs w:val="24"/>
        </w:rPr>
        <w:t> :</w:t>
      </w:r>
    </w:p>
    <w:p w14:paraId="70AC1F0D" w14:textId="4E13ED57" w:rsidR="006D0CE9" w:rsidRDefault="006D0CE9" w:rsidP="006D0CE9">
      <w:pPr>
        <w:pStyle w:val="Paragraphedeliste"/>
        <w:tabs>
          <w:tab w:val="left" w:pos="-142"/>
        </w:tabs>
        <w:spacing w:after="0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6D0CE9">
        <w:rPr>
          <w:bCs/>
          <w:sz w:val="24"/>
          <w:szCs w:val="24"/>
        </w:rPr>
        <w:t xml:space="preserve">Une </w:t>
      </w:r>
      <w:r>
        <w:rPr>
          <w:bCs/>
          <w:sz w:val="24"/>
          <w:szCs w:val="24"/>
        </w:rPr>
        <w:t xml:space="preserve">subvention de </w:t>
      </w:r>
      <w:r w:rsidRPr="006D0CE9">
        <w:rPr>
          <w:b/>
          <w:sz w:val="24"/>
          <w:szCs w:val="24"/>
        </w:rPr>
        <w:t>300 € est accordée à La MRJC 70</w:t>
      </w:r>
      <w:r>
        <w:rPr>
          <w:bCs/>
          <w:sz w:val="24"/>
          <w:szCs w:val="24"/>
        </w:rPr>
        <w:t xml:space="preserve"> pour l’aide au financement du projet « Les Petits Journalistes Jasnéens » conduit cet été par Mathilde Sivignon avec les Jeunes.</w:t>
      </w:r>
    </w:p>
    <w:p w14:paraId="30B1D54D" w14:textId="6D850E80" w:rsidR="006D0CE9" w:rsidRDefault="006D0CE9" w:rsidP="006D0CE9">
      <w:pPr>
        <w:pStyle w:val="Paragraphedeliste"/>
        <w:tabs>
          <w:tab w:val="left" w:pos="-142"/>
        </w:tabs>
        <w:spacing w:after="0"/>
        <w:ind w:left="218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Le conseil décide de reconduire le montant des subventions accordées </w:t>
      </w:r>
      <w:r w:rsidRPr="005428B0">
        <w:rPr>
          <w:b/>
          <w:sz w:val="24"/>
          <w:szCs w:val="24"/>
        </w:rPr>
        <w:t xml:space="preserve">aux associations et organismes </w:t>
      </w:r>
      <w:r>
        <w:rPr>
          <w:bCs/>
          <w:sz w:val="24"/>
          <w:szCs w:val="24"/>
        </w:rPr>
        <w:t>en 2024 à savoir : Maison des Jeunes : 1</w:t>
      </w:r>
      <w:r w:rsidR="005428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050 €, Aînés Ruraux : 160€, ADAPEI : 90€, Souvenir Français : 80€, ADMR : 90€, ELIAD : 90€, FNACA : 40€, ADP3P : 50€</w:t>
      </w:r>
      <w:r w:rsidR="005428B0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</w:t>
      </w:r>
      <w:r w:rsidR="005428B0">
        <w:rPr>
          <w:b/>
          <w:sz w:val="24"/>
          <w:szCs w:val="24"/>
        </w:rPr>
        <w:t>T</w:t>
      </w:r>
      <w:r w:rsidR="005428B0" w:rsidRPr="005428B0">
        <w:rPr>
          <w:b/>
          <w:sz w:val="24"/>
          <w:szCs w:val="24"/>
        </w:rPr>
        <w:t xml:space="preserve">otal : 1 </w:t>
      </w:r>
      <w:r w:rsidRPr="005428B0">
        <w:rPr>
          <w:b/>
          <w:sz w:val="24"/>
          <w:szCs w:val="24"/>
        </w:rPr>
        <w:t xml:space="preserve">650€ </w:t>
      </w:r>
    </w:p>
    <w:p w14:paraId="5C39E5D4" w14:textId="0641BF39" w:rsidR="005428B0" w:rsidRDefault="005428B0" w:rsidP="006D0CE9">
      <w:pPr>
        <w:pStyle w:val="Paragraphedeliste"/>
        <w:tabs>
          <w:tab w:val="left" w:pos="-142"/>
        </w:tabs>
        <w:spacing w:after="0"/>
        <w:ind w:left="21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5428B0">
        <w:rPr>
          <w:bCs/>
          <w:sz w:val="24"/>
          <w:szCs w:val="24"/>
        </w:rPr>
        <w:t xml:space="preserve">Une subvention </w:t>
      </w:r>
      <w:r w:rsidRPr="005428B0">
        <w:rPr>
          <w:b/>
          <w:sz w:val="24"/>
          <w:szCs w:val="24"/>
        </w:rPr>
        <w:t>de 575 €</w:t>
      </w:r>
      <w:r>
        <w:rPr>
          <w:bCs/>
          <w:sz w:val="24"/>
          <w:szCs w:val="24"/>
        </w:rPr>
        <w:t xml:space="preserve"> est accordée à Jasney New Délire par rapport au résultat comptable des festivités du 14 Juillet. Cette association servant de support comptable à cette manifestation.</w:t>
      </w:r>
    </w:p>
    <w:p w14:paraId="6BB902EE" w14:textId="77777777" w:rsidR="005428B0" w:rsidRDefault="005428B0" w:rsidP="006D0CE9">
      <w:pPr>
        <w:pStyle w:val="Paragraphedeliste"/>
        <w:tabs>
          <w:tab w:val="left" w:pos="-142"/>
        </w:tabs>
        <w:spacing w:after="0"/>
        <w:ind w:left="218"/>
        <w:jc w:val="both"/>
        <w:rPr>
          <w:bCs/>
          <w:sz w:val="24"/>
          <w:szCs w:val="24"/>
        </w:rPr>
      </w:pPr>
    </w:p>
    <w:p w14:paraId="58B959F5" w14:textId="267E64C1" w:rsidR="005428B0" w:rsidRPr="005428B0" w:rsidRDefault="005428B0" w:rsidP="005428B0">
      <w:pPr>
        <w:pStyle w:val="Paragraphedeliste"/>
        <w:numPr>
          <w:ilvl w:val="0"/>
          <w:numId w:val="1"/>
        </w:numPr>
        <w:tabs>
          <w:tab w:val="left" w:pos="-142"/>
        </w:tabs>
        <w:spacing w:after="0"/>
        <w:jc w:val="both"/>
        <w:rPr>
          <w:b/>
          <w:sz w:val="24"/>
          <w:szCs w:val="24"/>
        </w:rPr>
      </w:pPr>
      <w:r w:rsidRPr="00076190">
        <w:rPr>
          <w:b/>
          <w:sz w:val="24"/>
          <w:szCs w:val="24"/>
          <w:u w:val="single"/>
        </w:rPr>
        <w:t>Convention avec le CDG 70</w:t>
      </w:r>
      <w:r w:rsidRPr="005428B0">
        <w:rPr>
          <w:b/>
          <w:sz w:val="24"/>
          <w:szCs w:val="24"/>
        </w:rPr>
        <w:t> :</w:t>
      </w:r>
    </w:p>
    <w:p w14:paraId="504AFE39" w14:textId="51378E95" w:rsidR="005428B0" w:rsidRPr="005428B0" w:rsidRDefault="005428B0" w:rsidP="005428B0">
      <w:pPr>
        <w:pStyle w:val="Paragraphedeliste"/>
        <w:tabs>
          <w:tab w:val="left" w:pos="-142"/>
        </w:tabs>
        <w:spacing w:after="0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 Conseil décide de signer avec le Centre de Gestion de La Fonction Publique Territoriale une convention pour</w:t>
      </w:r>
      <w:r w:rsidR="00EE2985">
        <w:rPr>
          <w:bCs/>
          <w:sz w:val="24"/>
          <w:szCs w:val="24"/>
        </w:rPr>
        <w:t xml:space="preserve"> accepter les missions facultatives en cas de besoin notamment l’instruction des dossiers de retraite pour les agents communaux.</w:t>
      </w:r>
      <w:r>
        <w:rPr>
          <w:bCs/>
          <w:sz w:val="24"/>
          <w:szCs w:val="24"/>
        </w:rPr>
        <w:t xml:space="preserve"> </w:t>
      </w:r>
    </w:p>
    <w:p w14:paraId="44BF0884" w14:textId="77777777" w:rsidR="00FE2840" w:rsidRDefault="00FE2840" w:rsidP="006D0CE9">
      <w:pPr>
        <w:pStyle w:val="Paragraphedeliste"/>
        <w:tabs>
          <w:tab w:val="left" w:pos="-142"/>
        </w:tabs>
        <w:spacing w:after="0"/>
        <w:ind w:left="218"/>
        <w:jc w:val="both"/>
        <w:rPr>
          <w:bCs/>
          <w:sz w:val="24"/>
          <w:szCs w:val="24"/>
        </w:rPr>
      </w:pPr>
    </w:p>
    <w:p w14:paraId="5E96882D" w14:textId="2B37178E" w:rsidR="005428B0" w:rsidRDefault="005428B0" w:rsidP="005428B0">
      <w:pPr>
        <w:pStyle w:val="Paragraphedeliste"/>
        <w:numPr>
          <w:ilvl w:val="0"/>
          <w:numId w:val="1"/>
        </w:numPr>
        <w:tabs>
          <w:tab w:val="left" w:pos="-142"/>
        </w:tabs>
        <w:spacing w:after="0"/>
        <w:jc w:val="both"/>
        <w:rPr>
          <w:b/>
          <w:sz w:val="24"/>
          <w:szCs w:val="24"/>
        </w:rPr>
      </w:pPr>
      <w:r w:rsidRPr="00076190">
        <w:rPr>
          <w:b/>
          <w:sz w:val="24"/>
          <w:szCs w:val="24"/>
          <w:u w:val="single"/>
        </w:rPr>
        <w:t>Débat sur le PADD (Projet d’</w:t>
      </w:r>
      <w:r w:rsidR="003379F4" w:rsidRPr="00076190">
        <w:rPr>
          <w:b/>
          <w:sz w:val="24"/>
          <w:szCs w:val="24"/>
          <w:u w:val="single"/>
        </w:rPr>
        <w:t>A</w:t>
      </w:r>
      <w:r w:rsidRPr="00076190">
        <w:rPr>
          <w:b/>
          <w:sz w:val="24"/>
          <w:szCs w:val="24"/>
          <w:u w:val="single"/>
        </w:rPr>
        <w:t>ménagement et de Développement Durable</w:t>
      </w:r>
      <w:r w:rsidR="003379F4" w:rsidRPr="00076190">
        <w:rPr>
          <w:b/>
          <w:sz w:val="24"/>
          <w:szCs w:val="24"/>
          <w:u w:val="single"/>
        </w:rPr>
        <w:t>) du PLUI</w:t>
      </w:r>
      <w:r w:rsidR="002855C1">
        <w:rPr>
          <w:b/>
          <w:sz w:val="24"/>
          <w:szCs w:val="24"/>
        </w:rPr>
        <w:t> :</w:t>
      </w:r>
    </w:p>
    <w:p w14:paraId="45752F05" w14:textId="0EB62C10" w:rsidR="002855C1" w:rsidRPr="002855C1" w:rsidRDefault="002855C1" w:rsidP="002855C1">
      <w:pPr>
        <w:tabs>
          <w:tab w:val="left" w:pos="-142"/>
        </w:tabs>
        <w:spacing w:after="0"/>
        <w:ind w:left="-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Suite au conseil communautaire du 2 juillet 2025, le PADD a été modifié : l’objectif d’augmentation de la population de la CCHC a été fixé </w:t>
      </w:r>
      <w:r w:rsidRPr="002855C1">
        <w:rPr>
          <w:b/>
          <w:sz w:val="24"/>
          <w:szCs w:val="24"/>
        </w:rPr>
        <w:t>à 500 hab</w:t>
      </w:r>
      <w:r w:rsidR="00B60259">
        <w:rPr>
          <w:b/>
          <w:sz w:val="24"/>
          <w:szCs w:val="24"/>
        </w:rPr>
        <w:t>itants</w:t>
      </w:r>
      <w:r w:rsidRPr="002855C1">
        <w:rPr>
          <w:b/>
          <w:sz w:val="24"/>
          <w:szCs w:val="24"/>
        </w:rPr>
        <w:t xml:space="preserve"> d’ici 15 ans</w:t>
      </w:r>
      <w:r>
        <w:rPr>
          <w:bCs/>
          <w:sz w:val="24"/>
          <w:szCs w:val="24"/>
        </w:rPr>
        <w:t xml:space="preserve"> et la consommation d’espaces naturels pour des constructions réduite </w:t>
      </w:r>
      <w:r w:rsidRPr="002855C1">
        <w:rPr>
          <w:b/>
          <w:sz w:val="24"/>
          <w:szCs w:val="24"/>
        </w:rPr>
        <w:t>à 50 ha d’ici 2041</w:t>
      </w:r>
      <w:r>
        <w:rPr>
          <w:bCs/>
          <w:sz w:val="24"/>
          <w:szCs w:val="24"/>
        </w:rPr>
        <w:t xml:space="preserve">. De plus, l’armature territoriale ne comporte désormais plus que 2 strates : </w:t>
      </w:r>
      <w:r w:rsidRPr="002855C1">
        <w:rPr>
          <w:b/>
          <w:sz w:val="24"/>
          <w:szCs w:val="24"/>
        </w:rPr>
        <w:t>les pôles de vitalité économique et les communes rurales</w:t>
      </w:r>
      <w:r>
        <w:rPr>
          <w:bCs/>
          <w:sz w:val="24"/>
          <w:szCs w:val="24"/>
        </w:rPr>
        <w:t xml:space="preserve">. Le conseil prend note de ces modifications et débat sur </w:t>
      </w:r>
      <w:r w:rsidRPr="002855C1">
        <w:rPr>
          <w:b/>
          <w:sz w:val="24"/>
          <w:szCs w:val="24"/>
        </w:rPr>
        <w:t>les orientations du PADD</w:t>
      </w:r>
      <w:r>
        <w:rPr>
          <w:bCs/>
          <w:sz w:val="24"/>
          <w:szCs w:val="24"/>
        </w:rPr>
        <w:t xml:space="preserve"> autour des notions de territoire attractif, durable, harmonieux, solidaire et innovant.</w:t>
      </w:r>
    </w:p>
    <w:p w14:paraId="462AA0F0" w14:textId="516823DF" w:rsidR="00FE2840" w:rsidRDefault="00FE2840" w:rsidP="00FE2840">
      <w:pPr>
        <w:pStyle w:val="Paragraphedeliste"/>
        <w:tabs>
          <w:tab w:val="left" w:pos="-142"/>
        </w:tabs>
        <w:ind w:left="-227"/>
        <w:jc w:val="both"/>
        <w:rPr>
          <w:sz w:val="24"/>
          <w:szCs w:val="24"/>
        </w:rPr>
      </w:pPr>
    </w:p>
    <w:p w14:paraId="2D5FD176" w14:textId="276FD508" w:rsidR="00076190" w:rsidRPr="008C66EC" w:rsidRDefault="008C66EC" w:rsidP="008C66EC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b/>
          <w:bCs/>
          <w:sz w:val="24"/>
          <w:szCs w:val="24"/>
        </w:rPr>
      </w:pPr>
      <w:r w:rsidRPr="008C66EC">
        <w:rPr>
          <w:b/>
          <w:bCs/>
          <w:sz w:val="24"/>
          <w:szCs w:val="24"/>
          <w:u w:val="single"/>
        </w:rPr>
        <w:t xml:space="preserve">Contrat photocopieur </w:t>
      </w:r>
      <w:r>
        <w:rPr>
          <w:b/>
          <w:bCs/>
          <w:sz w:val="24"/>
          <w:szCs w:val="24"/>
          <w:u w:val="single"/>
        </w:rPr>
        <w:t>m</w:t>
      </w:r>
      <w:r w:rsidRPr="008C66EC">
        <w:rPr>
          <w:b/>
          <w:bCs/>
          <w:sz w:val="24"/>
          <w:szCs w:val="24"/>
          <w:u w:val="single"/>
        </w:rPr>
        <w:t>airie </w:t>
      </w:r>
      <w:r w:rsidRPr="008C66EC">
        <w:rPr>
          <w:b/>
          <w:bCs/>
          <w:sz w:val="24"/>
          <w:szCs w:val="24"/>
        </w:rPr>
        <w:t>:</w:t>
      </w:r>
    </w:p>
    <w:p w14:paraId="4B8342B4" w14:textId="016437E4" w:rsidR="008C66EC" w:rsidRDefault="008C66EC" w:rsidP="008C66EC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nouveau contrat a été conclu avec </w:t>
      </w:r>
      <w:r w:rsidRPr="008C66EC">
        <w:rPr>
          <w:sz w:val="24"/>
          <w:szCs w:val="24"/>
        </w:rPr>
        <w:t>La société Avenir Bureautique</w:t>
      </w:r>
      <w:r>
        <w:rPr>
          <w:sz w:val="24"/>
          <w:szCs w:val="24"/>
        </w:rPr>
        <w:t xml:space="preserve"> pour le remplacement du photocopieur. Le nouvel appareil sera </w:t>
      </w:r>
      <w:r w:rsidRPr="00B60259">
        <w:rPr>
          <w:b/>
          <w:bCs/>
          <w:sz w:val="24"/>
          <w:szCs w:val="24"/>
        </w:rPr>
        <w:t>en location</w:t>
      </w:r>
      <w:r>
        <w:rPr>
          <w:sz w:val="24"/>
          <w:szCs w:val="24"/>
        </w:rPr>
        <w:t xml:space="preserve">. Le coût d’utilisation (location et maintenance) sera inférieur à celui du précédent et </w:t>
      </w:r>
      <w:r w:rsidRPr="008C66EC">
        <w:rPr>
          <w:b/>
          <w:bCs/>
          <w:sz w:val="24"/>
          <w:szCs w:val="24"/>
        </w:rPr>
        <w:t>permettra une économie de 792€ annuels.</w:t>
      </w:r>
      <w:r>
        <w:rPr>
          <w:sz w:val="24"/>
          <w:szCs w:val="24"/>
        </w:rPr>
        <w:t xml:space="preserve"> </w:t>
      </w:r>
    </w:p>
    <w:p w14:paraId="0B29F05C" w14:textId="549FFBB0" w:rsidR="008C66EC" w:rsidRDefault="008C66EC" w:rsidP="008C66EC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sz w:val="24"/>
          <w:szCs w:val="24"/>
        </w:rPr>
      </w:pPr>
      <w:r w:rsidRPr="00282F96">
        <w:rPr>
          <w:b/>
          <w:bCs/>
          <w:sz w:val="24"/>
          <w:szCs w:val="24"/>
        </w:rPr>
        <w:t>Questions diverses</w:t>
      </w:r>
      <w:r>
        <w:rPr>
          <w:sz w:val="24"/>
          <w:szCs w:val="24"/>
        </w:rPr>
        <w:t> :</w:t>
      </w:r>
    </w:p>
    <w:p w14:paraId="7B1F43DC" w14:textId="41156E8C" w:rsidR="00A60E3F" w:rsidRDefault="00A60E3F" w:rsidP="00A60E3F">
      <w:pPr>
        <w:pStyle w:val="Paragraphedeliste"/>
        <w:numPr>
          <w:ilvl w:val="0"/>
          <w:numId w:val="8"/>
        </w:num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montant de la taxe d’affouage 2025 est fixé </w:t>
      </w:r>
      <w:r w:rsidRPr="00A60E3F">
        <w:rPr>
          <w:b/>
          <w:bCs/>
          <w:sz w:val="24"/>
          <w:szCs w:val="24"/>
        </w:rPr>
        <w:t>à 68€</w:t>
      </w:r>
      <w:r>
        <w:rPr>
          <w:sz w:val="24"/>
          <w:szCs w:val="24"/>
        </w:rPr>
        <w:t xml:space="preserve"> (sans changement par rapport à 2024)</w:t>
      </w:r>
    </w:p>
    <w:p w14:paraId="1E0AA91F" w14:textId="3D475128" w:rsidR="008C66EC" w:rsidRDefault="00A60E3F" w:rsidP="008C66EC">
      <w:pPr>
        <w:pStyle w:val="Paragraphedeliste"/>
        <w:numPr>
          <w:ilvl w:val="0"/>
          <w:numId w:val="8"/>
        </w:num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décision modificative budgétaire d’un montant de </w:t>
      </w:r>
      <w:r w:rsidRPr="00A60E3F">
        <w:rPr>
          <w:b/>
          <w:bCs/>
          <w:sz w:val="24"/>
          <w:szCs w:val="24"/>
        </w:rPr>
        <w:t>5 760 €</w:t>
      </w:r>
      <w:r>
        <w:rPr>
          <w:sz w:val="24"/>
          <w:szCs w:val="24"/>
        </w:rPr>
        <w:t xml:space="preserve"> est adoptée pour l’amortissement des compteurs d’eau du lotissement route de Melincourt</w:t>
      </w:r>
    </w:p>
    <w:p w14:paraId="70E8D282" w14:textId="43DA1410" w:rsidR="00A60E3F" w:rsidRDefault="00A60E3F" w:rsidP="008C66EC">
      <w:pPr>
        <w:pStyle w:val="Paragraphedeliste"/>
        <w:numPr>
          <w:ilvl w:val="0"/>
          <w:numId w:val="8"/>
        </w:num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campagne </w:t>
      </w:r>
      <w:r w:rsidRPr="00A60E3F">
        <w:rPr>
          <w:b/>
          <w:bCs/>
          <w:sz w:val="24"/>
          <w:szCs w:val="24"/>
        </w:rPr>
        <w:t>de stérilisation des chats errants</w:t>
      </w:r>
      <w:r>
        <w:rPr>
          <w:sz w:val="24"/>
          <w:szCs w:val="24"/>
        </w:rPr>
        <w:t xml:space="preserve"> va </w:t>
      </w:r>
      <w:r w:rsidR="00B60259">
        <w:rPr>
          <w:sz w:val="24"/>
          <w:szCs w:val="24"/>
        </w:rPr>
        <w:t>reprendre</w:t>
      </w:r>
      <w:r>
        <w:rPr>
          <w:sz w:val="24"/>
          <w:szCs w:val="24"/>
        </w:rPr>
        <w:t>.</w:t>
      </w:r>
    </w:p>
    <w:p w14:paraId="027BAF7E" w14:textId="1D53CA64" w:rsidR="00A60E3F" w:rsidRPr="00A60E3F" w:rsidRDefault="00A60E3F" w:rsidP="008C66EC">
      <w:pPr>
        <w:pStyle w:val="Paragraphedeliste"/>
        <w:numPr>
          <w:ilvl w:val="0"/>
          <w:numId w:val="8"/>
        </w:numPr>
        <w:tabs>
          <w:tab w:val="left" w:pos="-14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bilan du </w:t>
      </w:r>
      <w:r w:rsidRPr="00A60E3F">
        <w:rPr>
          <w:b/>
          <w:bCs/>
          <w:sz w:val="24"/>
          <w:szCs w:val="24"/>
        </w:rPr>
        <w:t>festival de Haute-Comté</w:t>
      </w:r>
      <w:r>
        <w:rPr>
          <w:sz w:val="24"/>
          <w:szCs w:val="24"/>
        </w:rPr>
        <w:t xml:space="preserve"> du 5 juillet dernier est positif : </w:t>
      </w:r>
      <w:r w:rsidRPr="00A60E3F">
        <w:rPr>
          <w:b/>
          <w:bCs/>
          <w:sz w:val="24"/>
          <w:szCs w:val="24"/>
        </w:rPr>
        <w:t xml:space="preserve">1 500 visiteurs, 113 bénévoles </w:t>
      </w:r>
      <w:r w:rsidRPr="00A60E3F">
        <w:rPr>
          <w:sz w:val="24"/>
          <w:szCs w:val="24"/>
        </w:rPr>
        <w:t xml:space="preserve">issus </w:t>
      </w:r>
      <w:r w:rsidRPr="00A60E3F">
        <w:rPr>
          <w:b/>
          <w:bCs/>
          <w:sz w:val="24"/>
          <w:szCs w:val="24"/>
        </w:rPr>
        <w:t xml:space="preserve">de 9 associations </w:t>
      </w:r>
      <w:r w:rsidRPr="00A60E3F">
        <w:rPr>
          <w:sz w:val="24"/>
          <w:szCs w:val="24"/>
        </w:rPr>
        <w:t xml:space="preserve">et </w:t>
      </w:r>
      <w:r w:rsidRPr="00A60E3F">
        <w:rPr>
          <w:b/>
          <w:bCs/>
          <w:sz w:val="24"/>
          <w:szCs w:val="24"/>
        </w:rPr>
        <w:t>4 709 € reversés aux associations</w:t>
      </w:r>
    </w:p>
    <w:p w14:paraId="79AE74AD" w14:textId="4C5C178D" w:rsidR="00A60E3F" w:rsidRPr="00A60E3F" w:rsidRDefault="00A60E3F" w:rsidP="008C66EC">
      <w:pPr>
        <w:pStyle w:val="Paragraphedeliste"/>
        <w:numPr>
          <w:ilvl w:val="0"/>
          <w:numId w:val="8"/>
        </w:numPr>
        <w:tabs>
          <w:tab w:val="left" w:pos="-142"/>
        </w:tabs>
        <w:jc w:val="both"/>
        <w:rPr>
          <w:sz w:val="24"/>
          <w:szCs w:val="24"/>
        </w:rPr>
      </w:pPr>
      <w:r w:rsidRPr="00A60E3F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coût total du </w:t>
      </w:r>
      <w:r w:rsidRPr="00B60259">
        <w:rPr>
          <w:b/>
          <w:bCs/>
          <w:sz w:val="24"/>
          <w:szCs w:val="24"/>
        </w:rPr>
        <w:t>parcours patrimoine</w:t>
      </w:r>
      <w:r>
        <w:rPr>
          <w:sz w:val="24"/>
          <w:szCs w:val="24"/>
        </w:rPr>
        <w:t xml:space="preserve"> s’élève à </w:t>
      </w:r>
      <w:r w:rsidRPr="00A60E3F">
        <w:rPr>
          <w:b/>
          <w:bCs/>
          <w:sz w:val="24"/>
          <w:szCs w:val="24"/>
        </w:rPr>
        <w:t>12 895 €.</w:t>
      </w:r>
      <w:r>
        <w:rPr>
          <w:sz w:val="24"/>
          <w:szCs w:val="24"/>
        </w:rPr>
        <w:t xml:space="preserve">  Il a été financé par </w:t>
      </w:r>
      <w:r w:rsidRPr="00282F96">
        <w:rPr>
          <w:b/>
          <w:bCs/>
          <w:sz w:val="24"/>
          <w:szCs w:val="24"/>
        </w:rPr>
        <w:t>6</w:t>
      </w:r>
      <w:r w:rsidR="00282F96" w:rsidRPr="00282F96">
        <w:rPr>
          <w:b/>
          <w:bCs/>
          <w:sz w:val="24"/>
          <w:szCs w:val="24"/>
        </w:rPr>
        <w:t> </w:t>
      </w:r>
      <w:r w:rsidRPr="00282F96">
        <w:rPr>
          <w:b/>
          <w:bCs/>
          <w:sz w:val="24"/>
          <w:szCs w:val="24"/>
        </w:rPr>
        <w:t>500</w:t>
      </w:r>
      <w:r w:rsidR="00282F96" w:rsidRPr="00282F96">
        <w:rPr>
          <w:b/>
          <w:bCs/>
          <w:sz w:val="24"/>
          <w:szCs w:val="24"/>
        </w:rPr>
        <w:t xml:space="preserve"> </w:t>
      </w:r>
      <w:r w:rsidRPr="00282F96">
        <w:rPr>
          <w:b/>
          <w:bCs/>
          <w:sz w:val="24"/>
          <w:szCs w:val="24"/>
        </w:rPr>
        <w:t>€</w:t>
      </w:r>
      <w:r>
        <w:rPr>
          <w:sz w:val="24"/>
          <w:szCs w:val="24"/>
        </w:rPr>
        <w:t xml:space="preserve"> de la CCHC</w:t>
      </w:r>
      <w:r w:rsidRPr="00282F96">
        <w:rPr>
          <w:b/>
          <w:bCs/>
          <w:sz w:val="24"/>
          <w:szCs w:val="24"/>
        </w:rPr>
        <w:t>, 2000</w:t>
      </w:r>
      <w:r w:rsidR="00282F96" w:rsidRPr="00282F96">
        <w:rPr>
          <w:b/>
          <w:bCs/>
          <w:sz w:val="24"/>
          <w:szCs w:val="24"/>
        </w:rPr>
        <w:t xml:space="preserve"> </w:t>
      </w:r>
      <w:r w:rsidRPr="00282F96">
        <w:rPr>
          <w:b/>
          <w:bCs/>
          <w:sz w:val="24"/>
          <w:szCs w:val="24"/>
        </w:rPr>
        <w:t>€</w:t>
      </w:r>
      <w:r>
        <w:rPr>
          <w:sz w:val="24"/>
          <w:szCs w:val="24"/>
        </w:rPr>
        <w:t xml:space="preserve"> du Crédit Agricole </w:t>
      </w:r>
      <w:r w:rsidRPr="00282F96">
        <w:rPr>
          <w:b/>
          <w:bCs/>
          <w:sz w:val="24"/>
          <w:szCs w:val="24"/>
        </w:rPr>
        <w:t>et 4</w:t>
      </w:r>
      <w:r w:rsidR="00282F96" w:rsidRPr="00282F96">
        <w:rPr>
          <w:b/>
          <w:bCs/>
          <w:sz w:val="24"/>
          <w:szCs w:val="24"/>
        </w:rPr>
        <w:t xml:space="preserve"> 395 </w:t>
      </w:r>
      <w:r w:rsidRPr="00282F96">
        <w:rPr>
          <w:b/>
          <w:bCs/>
          <w:sz w:val="24"/>
          <w:szCs w:val="24"/>
        </w:rPr>
        <w:t>€</w:t>
      </w:r>
      <w:r>
        <w:rPr>
          <w:sz w:val="24"/>
          <w:szCs w:val="24"/>
        </w:rPr>
        <w:t xml:space="preserve"> de fonds propres communaux.</w:t>
      </w:r>
    </w:p>
    <w:p w14:paraId="5B30FA08" w14:textId="05F1036A" w:rsidR="00C44D0B" w:rsidRDefault="00A60E3F" w:rsidP="0084618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La séance est levée à 22h40</w:t>
      </w:r>
    </w:p>
    <w:sectPr w:rsidR="00C44D0B" w:rsidSect="00FE284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7BD"/>
    <w:multiLevelType w:val="hybridMultilevel"/>
    <w:tmpl w:val="F1862F52"/>
    <w:lvl w:ilvl="0" w:tplc="791A63D2">
      <w:start w:val="1"/>
      <w:numFmt w:val="decimal"/>
      <w:lvlText w:val="%1)"/>
      <w:lvlJc w:val="left"/>
      <w:pPr>
        <w:ind w:left="218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D4B4C"/>
    <w:multiLevelType w:val="hybridMultilevel"/>
    <w:tmpl w:val="7206D790"/>
    <w:lvl w:ilvl="0" w:tplc="35626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40D4"/>
    <w:multiLevelType w:val="hybridMultilevel"/>
    <w:tmpl w:val="E7C049F0"/>
    <w:lvl w:ilvl="0" w:tplc="95521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6597E"/>
    <w:multiLevelType w:val="hybridMultilevel"/>
    <w:tmpl w:val="EA321D92"/>
    <w:lvl w:ilvl="0" w:tplc="7FFC58D2"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1F4029D"/>
    <w:multiLevelType w:val="hybridMultilevel"/>
    <w:tmpl w:val="CB2CDC7E"/>
    <w:lvl w:ilvl="0" w:tplc="9656E1AA">
      <w:start w:val="5"/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BFA79DD"/>
    <w:multiLevelType w:val="hybridMultilevel"/>
    <w:tmpl w:val="EF2AD8E2"/>
    <w:lvl w:ilvl="0" w:tplc="9D820ADC"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0B44EAE"/>
    <w:multiLevelType w:val="hybridMultilevel"/>
    <w:tmpl w:val="813C73B8"/>
    <w:lvl w:ilvl="0" w:tplc="01489C16">
      <w:numFmt w:val="bullet"/>
      <w:lvlText w:val=""/>
      <w:lvlJc w:val="left"/>
      <w:pPr>
        <w:ind w:left="57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47E2CDF"/>
    <w:multiLevelType w:val="hybridMultilevel"/>
    <w:tmpl w:val="F83E1624"/>
    <w:lvl w:ilvl="0" w:tplc="CA2A34C6"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94147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847112">
    <w:abstractNumId w:val="5"/>
  </w:num>
  <w:num w:numId="3" w16cid:durableId="138111433">
    <w:abstractNumId w:val="1"/>
  </w:num>
  <w:num w:numId="4" w16cid:durableId="581336912">
    <w:abstractNumId w:val="6"/>
  </w:num>
  <w:num w:numId="5" w16cid:durableId="1100878436">
    <w:abstractNumId w:val="3"/>
  </w:num>
  <w:num w:numId="6" w16cid:durableId="603028887">
    <w:abstractNumId w:val="7"/>
  </w:num>
  <w:num w:numId="7" w16cid:durableId="1797017256">
    <w:abstractNumId w:val="2"/>
  </w:num>
  <w:num w:numId="8" w16cid:durableId="8985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83"/>
    <w:rsid w:val="00076190"/>
    <w:rsid w:val="000C6970"/>
    <w:rsid w:val="0019414E"/>
    <w:rsid w:val="001B73CA"/>
    <w:rsid w:val="002233FA"/>
    <w:rsid w:val="0026182C"/>
    <w:rsid w:val="00282F96"/>
    <w:rsid w:val="002855C1"/>
    <w:rsid w:val="002A1EA3"/>
    <w:rsid w:val="002B326B"/>
    <w:rsid w:val="002F5950"/>
    <w:rsid w:val="003379F4"/>
    <w:rsid w:val="003464D2"/>
    <w:rsid w:val="003635BE"/>
    <w:rsid w:val="00383870"/>
    <w:rsid w:val="00384495"/>
    <w:rsid w:val="003F5CCF"/>
    <w:rsid w:val="004933A3"/>
    <w:rsid w:val="004A4AFB"/>
    <w:rsid w:val="004D3A24"/>
    <w:rsid w:val="004E4ED7"/>
    <w:rsid w:val="004F10F7"/>
    <w:rsid w:val="00537067"/>
    <w:rsid w:val="005428B0"/>
    <w:rsid w:val="00555810"/>
    <w:rsid w:val="00590CBB"/>
    <w:rsid w:val="005975A0"/>
    <w:rsid w:val="005D3CE1"/>
    <w:rsid w:val="00600603"/>
    <w:rsid w:val="00657170"/>
    <w:rsid w:val="006D0CE9"/>
    <w:rsid w:val="006D354C"/>
    <w:rsid w:val="00770247"/>
    <w:rsid w:val="00793C06"/>
    <w:rsid w:val="007A339D"/>
    <w:rsid w:val="00846183"/>
    <w:rsid w:val="008865B1"/>
    <w:rsid w:val="008C66EC"/>
    <w:rsid w:val="00971D85"/>
    <w:rsid w:val="009C4553"/>
    <w:rsid w:val="00A60E3F"/>
    <w:rsid w:val="00B60259"/>
    <w:rsid w:val="00B70F8D"/>
    <w:rsid w:val="00B73CF2"/>
    <w:rsid w:val="00B74133"/>
    <w:rsid w:val="00C44D0B"/>
    <w:rsid w:val="00CE295D"/>
    <w:rsid w:val="00D602CC"/>
    <w:rsid w:val="00DC62F5"/>
    <w:rsid w:val="00DF675B"/>
    <w:rsid w:val="00E57DDA"/>
    <w:rsid w:val="00EE2985"/>
    <w:rsid w:val="00EE766B"/>
    <w:rsid w:val="00FA4D1B"/>
    <w:rsid w:val="00FC2D1E"/>
    <w:rsid w:val="00FD436E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1E09"/>
  <w15:chartTrackingRefBased/>
  <w15:docId w15:val="{61AA4727-ABEA-4485-97D2-43F7CEA7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83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6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61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61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61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61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61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61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1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61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1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1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B4A4-27BF-491D-9255-22A5E4C0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Garret</dc:creator>
  <cp:keywords/>
  <dc:description/>
  <cp:lastModifiedBy>Laurent Garret</cp:lastModifiedBy>
  <cp:revision>3</cp:revision>
  <dcterms:created xsi:type="dcterms:W3CDTF">2025-11-23T17:31:00Z</dcterms:created>
  <dcterms:modified xsi:type="dcterms:W3CDTF">2025-11-23T17:32:00Z</dcterms:modified>
</cp:coreProperties>
</file>