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1E" w:rsidRDefault="0063621E" w:rsidP="00114E3A">
      <w:pPr>
        <w:spacing w:after="0"/>
        <w:ind w:hanging="142"/>
        <w:rPr>
          <w:b/>
          <w:sz w:val="24"/>
          <w:szCs w:val="24"/>
        </w:rPr>
      </w:pPr>
      <w:r w:rsidRPr="00563617">
        <w:rPr>
          <w:sz w:val="24"/>
          <w:szCs w:val="24"/>
        </w:rPr>
        <w:t xml:space="preserve">Commune de </w:t>
      </w:r>
      <w:r w:rsidRPr="00563617">
        <w:rPr>
          <w:b/>
          <w:sz w:val="24"/>
          <w:szCs w:val="24"/>
        </w:rPr>
        <w:t>JASNEY – 70800</w:t>
      </w:r>
    </w:p>
    <w:p w:rsidR="00114E3A" w:rsidRDefault="00114E3A" w:rsidP="00114E3A">
      <w:pPr>
        <w:spacing w:after="0"/>
        <w:ind w:hanging="142"/>
        <w:rPr>
          <w:b/>
          <w:sz w:val="24"/>
          <w:szCs w:val="24"/>
        </w:rPr>
      </w:pPr>
    </w:p>
    <w:p w:rsidR="0063621E" w:rsidRPr="00563617" w:rsidRDefault="0063621E" w:rsidP="006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</w:rPr>
      </w:pPr>
      <w:r w:rsidRPr="00563617">
        <w:rPr>
          <w:b/>
        </w:rPr>
        <w:t>COMPTE-RENDU DE LA REUNIO</w:t>
      </w:r>
      <w:r w:rsidR="00F47CCC" w:rsidRPr="00563617">
        <w:rPr>
          <w:b/>
        </w:rPr>
        <w:t>N DU CONSEIL MUNICIPAL DU 15 AVRIL</w:t>
      </w:r>
      <w:r w:rsidRPr="00563617">
        <w:rPr>
          <w:b/>
        </w:rPr>
        <w:t xml:space="preserve"> 2021</w:t>
      </w:r>
    </w:p>
    <w:p w:rsidR="0063621E" w:rsidRPr="00563617" w:rsidRDefault="0063621E" w:rsidP="0063621E">
      <w:pPr>
        <w:tabs>
          <w:tab w:val="left" w:pos="-142"/>
        </w:tabs>
        <w:spacing w:after="0"/>
        <w:ind w:left="-142"/>
        <w:jc w:val="both"/>
        <w:rPr>
          <w:i/>
        </w:rPr>
      </w:pPr>
    </w:p>
    <w:p w:rsidR="0063621E" w:rsidRDefault="0063621E" w:rsidP="0063621E">
      <w:pPr>
        <w:tabs>
          <w:tab w:val="left" w:pos="-142"/>
        </w:tabs>
        <w:ind w:left="-142"/>
        <w:jc w:val="both"/>
        <w:rPr>
          <w:i/>
        </w:rPr>
      </w:pPr>
      <w:r>
        <w:rPr>
          <w:b/>
          <w:i/>
        </w:rPr>
        <w:t>Présents</w:t>
      </w:r>
      <w:r>
        <w:rPr>
          <w:i/>
        </w:rPr>
        <w:t xml:space="preserve"> : GEROME Jean Daniel, GARRET Laurent, BORONT Mickaël, BLEU Sylvain, COLLAS Josette, GACON Anne, HUGUENOT Yvette, </w:t>
      </w:r>
      <w:r w:rsidR="00F47CCC">
        <w:rPr>
          <w:i/>
        </w:rPr>
        <w:t>KUENY Stéphane,</w:t>
      </w:r>
      <w:r>
        <w:rPr>
          <w:i/>
        </w:rPr>
        <w:t xml:space="preserve"> RAPENNE Emilie, ROBERT Aude, TALGUEN Manon</w:t>
      </w:r>
      <w:r>
        <w:rPr>
          <w:i/>
        </w:rPr>
        <w:tab/>
      </w:r>
    </w:p>
    <w:p w:rsidR="0063621E" w:rsidRDefault="0063621E" w:rsidP="0063621E">
      <w:pPr>
        <w:tabs>
          <w:tab w:val="left" w:pos="-142"/>
        </w:tabs>
        <w:ind w:left="-142"/>
        <w:jc w:val="both"/>
      </w:pPr>
      <w:r>
        <w:rPr>
          <w:b/>
          <w:i/>
        </w:rPr>
        <w:t>Secrétaire de séance </w:t>
      </w:r>
      <w:r>
        <w:t xml:space="preserve">: </w:t>
      </w:r>
      <w:r>
        <w:rPr>
          <w:i/>
        </w:rPr>
        <w:t>GARRET Laurent</w:t>
      </w:r>
      <w:r>
        <w:t xml:space="preserve">                                        La séance est ouverte à 20h30   </w:t>
      </w:r>
    </w:p>
    <w:p w:rsidR="00860A28" w:rsidRDefault="00860A28" w:rsidP="00860A28">
      <w:pPr>
        <w:pStyle w:val="Paragraphedeliste"/>
        <w:numPr>
          <w:ilvl w:val="0"/>
          <w:numId w:val="1"/>
        </w:numPr>
        <w:tabs>
          <w:tab w:val="left" w:pos="-142"/>
        </w:tabs>
        <w:jc w:val="both"/>
      </w:pPr>
      <w:r w:rsidRPr="00860A28">
        <w:rPr>
          <w:b/>
          <w:u w:val="single"/>
        </w:rPr>
        <w:t>Prêt bancaire</w:t>
      </w:r>
      <w:r>
        <w:t> :</w:t>
      </w:r>
    </w:p>
    <w:p w:rsidR="00860A28" w:rsidRDefault="00860A28" w:rsidP="00860A28">
      <w:pPr>
        <w:pStyle w:val="Paragraphedeliste"/>
        <w:tabs>
          <w:tab w:val="left" w:pos="-142"/>
        </w:tabs>
        <w:ind w:left="218"/>
        <w:jc w:val="both"/>
      </w:pPr>
      <w:r>
        <w:t xml:space="preserve">Pour financer les travaux du toit de l’église, le conseil municipal autorise le maire à contracter un emprunt de </w:t>
      </w:r>
      <w:r w:rsidRPr="00860A28">
        <w:rPr>
          <w:b/>
        </w:rPr>
        <w:t xml:space="preserve">80 000 € </w:t>
      </w:r>
      <w:r w:rsidRPr="00860A28">
        <w:t>au taux de 0,33 %</w:t>
      </w:r>
      <w:r>
        <w:t xml:space="preserve"> et d’une durée de 7 ans auprès du Crédit Agricole. Cette somme sera intégrée au budget primitif 2021.</w:t>
      </w:r>
    </w:p>
    <w:p w:rsidR="001A07A5" w:rsidRDefault="001A07A5" w:rsidP="00860A28">
      <w:pPr>
        <w:pStyle w:val="Paragraphedeliste"/>
        <w:tabs>
          <w:tab w:val="left" w:pos="-142"/>
        </w:tabs>
        <w:ind w:left="218"/>
        <w:jc w:val="both"/>
      </w:pPr>
    </w:p>
    <w:p w:rsidR="001A07A5" w:rsidRDefault="001A07A5" w:rsidP="001A07A5">
      <w:pPr>
        <w:pStyle w:val="Paragraphedeliste"/>
        <w:numPr>
          <w:ilvl w:val="0"/>
          <w:numId w:val="1"/>
        </w:numPr>
        <w:tabs>
          <w:tab w:val="left" w:pos="-142"/>
        </w:tabs>
        <w:jc w:val="both"/>
      </w:pPr>
      <w:r w:rsidRPr="001A07A5">
        <w:rPr>
          <w:b/>
          <w:u w:val="single"/>
        </w:rPr>
        <w:t>Taxes locales</w:t>
      </w:r>
      <w:r>
        <w:t> :</w:t>
      </w:r>
    </w:p>
    <w:p w:rsidR="001A07A5" w:rsidRPr="001A07A5" w:rsidRDefault="001A07A5" w:rsidP="001A07A5">
      <w:pPr>
        <w:pStyle w:val="Paragraphedeliste"/>
        <w:tabs>
          <w:tab w:val="left" w:pos="-142"/>
        </w:tabs>
        <w:ind w:left="218"/>
        <w:jc w:val="both"/>
        <w:rPr>
          <w:b/>
        </w:rPr>
      </w:pPr>
      <w:r w:rsidRPr="001A07A5">
        <w:t xml:space="preserve">Le conseil municipal décide de maintenir les taux </w:t>
      </w:r>
      <w:r>
        <w:t xml:space="preserve">existants des taxes sur </w:t>
      </w:r>
      <w:r w:rsidRPr="001A07A5">
        <w:rPr>
          <w:b/>
        </w:rPr>
        <w:t>le foncier bâti (9,52 %)</w:t>
      </w:r>
      <w:r>
        <w:t xml:space="preserve"> et</w:t>
      </w:r>
      <w:r w:rsidR="000F08DA">
        <w:t xml:space="preserve"> </w:t>
      </w:r>
      <w:r w:rsidR="000F08DA" w:rsidRPr="000F08DA">
        <w:rPr>
          <w:b/>
        </w:rPr>
        <w:t>le foncier</w:t>
      </w:r>
      <w:r w:rsidR="000F08DA">
        <w:t xml:space="preserve"> </w:t>
      </w:r>
      <w:r w:rsidRPr="001A07A5">
        <w:rPr>
          <w:b/>
        </w:rPr>
        <w:t>non bâti (25,50 %)</w:t>
      </w:r>
      <w:r>
        <w:rPr>
          <w:b/>
        </w:rPr>
        <w:t xml:space="preserve">. </w:t>
      </w:r>
      <w:r>
        <w:t>La taxe d’habitation qui va disparaître en 2022 fera l’objet d’une compensation de l’Etat</w:t>
      </w:r>
      <w:r w:rsidR="003360DD">
        <w:t xml:space="preserve">. Le produit attendu de ces taxes s’élève à </w:t>
      </w:r>
      <w:r w:rsidR="0001311D" w:rsidRPr="0001311D">
        <w:rPr>
          <w:b/>
        </w:rPr>
        <w:t>32 924 €.</w:t>
      </w:r>
    </w:p>
    <w:p w:rsidR="001A07A5" w:rsidRPr="00860A28" w:rsidRDefault="001A07A5" w:rsidP="001A07A5">
      <w:pPr>
        <w:pStyle w:val="Paragraphedeliste"/>
        <w:tabs>
          <w:tab w:val="left" w:pos="-142"/>
        </w:tabs>
        <w:ind w:left="218"/>
        <w:jc w:val="both"/>
      </w:pPr>
    </w:p>
    <w:p w:rsidR="0063621E" w:rsidRDefault="003360DD" w:rsidP="0063621E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b/>
        </w:rPr>
      </w:pPr>
      <w:r>
        <w:rPr>
          <w:b/>
          <w:u w:val="single"/>
        </w:rPr>
        <w:t>Budget primitif</w:t>
      </w:r>
      <w:r w:rsidR="00A45014">
        <w:rPr>
          <w:b/>
          <w:u w:val="single"/>
        </w:rPr>
        <w:t xml:space="preserve"> général</w:t>
      </w:r>
      <w:r>
        <w:rPr>
          <w:b/>
          <w:u w:val="single"/>
        </w:rPr>
        <w:t xml:space="preserve"> 2021</w:t>
      </w:r>
      <w:r w:rsidR="0063621E">
        <w:rPr>
          <w:b/>
          <w:u w:val="single"/>
        </w:rPr>
        <w:t> </w:t>
      </w:r>
      <w:r w:rsidR="0063621E">
        <w:rPr>
          <w:b/>
        </w:rPr>
        <w:t xml:space="preserve">:   </w:t>
      </w:r>
    </w:p>
    <w:p w:rsidR="0063621E" w:rsidRDefault="003360DD" w:rsidP="0063621E">
      <w:pPr>
        <w:pStyle w:val="Paragraphedeliste"/>
        <w:tabs>
          <w:tab w:val="left" w:pos="-142"/>
        </w:tabs>
        <w:ind w:left="218"/>
        <w:jc w:val="both"/>
      </w:pPr>
      <w:r>
        <w:t>La prévision des dépenses et recettes de l’année 2021 s’établit comme suit</w:t>
      </w:r>
      <w:r w:rsidR="0063621E">
        <w:t> :</w:t>
      </w:r>
    </w:p>
    <w:tbl>
      <w:tblPr>
        <w:tblStyle w:val="Grilledutableau"/>
        <w:tblW w:w="9636" w:type="dxa"/>
        <w:tblInd w:w="218" w:type="dxa"/>
        <w:tblLook w:val="04A0"/>
      </w:tblPr>
      <w:tblGrid>
        <w:gridCol w:w="4818"/>
        <w:gridCol w:w="34"/>
        <w:gridCol w:w="4784"/>
      </w:tblGrid>
      <w:tr w:rsidR="0063621E" w:rsidTr="005E0DEF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3621E" w:rsidRDefault="0063621E">
            <w:pPr>
              <w:pStyle w:val="Paragraphedeliste"/>
              <w:ind w:left="0"/>
              <w:jc w:val="center"/>
            </w:pPr>
            <w:r>
              <w:t>FONCTIONNEMENT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Charges à caractère général                   </w:t>
            </w:r>
            <w:r w:rsidR="005F2609">
              <w:t xml:space="preserve">     76 060 €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BF2CE1">
            <w:pPr>
              <w:pStyle w:val="Paragraphedeliste"/>
              <w:ind w:left="0"/>
            </w:pPr>
            <w:r>
              <w:t>Produit</w:t>
            </w:r>
            <w:r w:rsidR="005F2609">
              <w:t>s</w:t>
            </w:r>
            <w:r>
              <w:t xml:space="preserve"> du domaine (bois)                 </w:t>
            </w:r>
            <w:r w:rsidR="0079270F">
              <w:t xml:space="preserve">   </w:t>
            </w:r>
            <w:r>
              <w:t xml:space="preserve"> </w:t>
            </w:r>
            <w:r w:rsidR="0079270F">
              <w:t xml:space="preserve"> 146 000 €</w:t>
            </w:r>
            <w:r>
              <w:t xml:space="preserve">   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Charges de personnel                              </w:t>
            </w:r>
            <w:r w:rsidR="005F2609">
              <w:t xml:space="preserve">     43 250 €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Impôts locaux et taxes                            </w:t>
            </w:r>
            <w:r w:rsidR="0079270F">
              <w:t xml:space="preserve">   </w:t>
            </w:r>
            <w:r w:rsidR="00BF2CE1">
              <w:t xml:space="preserve"> </w:t>
            </w:r>
            <w:r>
              <w:t xml:space="preserve"> </w:t>
            </w:r>
            <w:r w:rsidR="0079270F">
              <w:t>36 000 €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Charges de gestion courante                   </w:t>
            </w:r>
            <w:r w:rsidR="005F2609">
              <w:t xml:space="preserve">    60 290 €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BF2CE1">
            <w:pPr>
              <w:pStyle w:val="Paragraphedeliste"/>
              <w:ind w:left="0"/>
            </w:pPr>
            <w:r>
              <w:t>Dotations</w:t>
            </w:r>
            <w:r w:rsidR="00BF2CE1">
              <w:t xml:space="preserve"> de l’Etat</w:t>
            </w:r>
            <w:r>
              <w:t xml:space="preserve"> et participations        </w:t>
            </w:r>
            <w:r w:rsidR="00BF2CE1">
              <w:t xml:space="preserve">  38 763 €</w:t>
            </w:r>
            <w:r>
              <w:t xml:space="preserve">         </w:t>
            </w:r>
            <w:r w:rsidR="0079270F">
              <w:t xml:space="preserve"> 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Charges financières (intérêts)                   </w:t>
            </w:r>
            <w:r w:rsidR="005F2609">
              <w:t xml:space="preserve">     2 500 €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Produits gestion courante (locations)    </w:t>
            </w:r>
            <w:r w:rsidR="0079270F">
              <w:t xml:space="preserve">   19 000 €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>Atténuation de produits (</w:t>
            </w:r>
            <w:proofErr w:type="spellStart"/>
            <w:r>
              <w:t>ComCom</w:t>
            </w:r>
            <w:proofErr w:type="spellEnd"/>
            <w:r>
              <w:t xml:space="preserve">)         </w:t>
            </w:r>
            <w:r w:rsidR="005F2609">
              <w:t xml:space="preserve">     2 174 €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Produits exceptionnels                              </w:t>
            </w:r>
            <w:r w:rsidR="0079270F">
              <w:t xml:space="preserve">     </w:t>
            </w:r>
            <w:r>
              <w:t xml:space="preserve"> </w:t>
            </w:r>
            <w:r w:rsidR="00BF2CE1">
              <w:t xml:space="preserve"> </w:t>
            </w:r>
            <w:r w:rsidR="0079270F">
              <w:t xml:space="preserve"> 820 €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1E" w:rsidRDefault="005F2609" w:rsidP="005F2609">
            <w:pPr>
              <w:pStyle w:val="Paragraphedeliste"/>
              <w:ind w:left="0"/>
            </w:pPr>
            <w:r>
              <w:t>Charges exceptionnelles                                     500 €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t xml:space="preserve">Atténuation de charges                              </w:t>
            </w:r>
            <w:r w:rsidR="0079270F">
              <w:t xml:space="preserve">    </w:t>
            </w:r>
            <w:r w:rsidR="00BF2CE1">
              <w:t xml:space="preserve"> </w:t>
            </w:r>
            <w:r w:rsidR="0079270F">
              <w:t xml:space="preserve">  145 €</w:t>
            </w: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1E" w:rsidRDefault="005F2609">
            <w:pPr>
              <w:pStyle w:val="Paragraphedeliste"/>
              <w:ind w:left="0"/>
            </w:pPr>
            <w:r>
              <w:t>Dépenses imprévues                                         5 000 €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5F2609" w:rsidP="0079270F">
            <w:pPr>
              <w:pStyle w:val="Paragraphedeliste"/>
              <w:ind w:left="0"/>
            </w:pPr>
            <w:r>
              <w:t>Excédent antérieur reporté</w:t>
            </w:r>
            <w:r w:rsidR="0063621E">
              <w:t xml:space="preserve">              </w:t>
            </w:r>
            <w:r w:rsidR="00BF2CE1">
              <w:t xml:space="preserve"> </w:t>
            </w:r>
            <w:r w:rsidR="0063621E">
              <w:t xml:space="preserve"> </w:t>
            </w:r>
            <w:r w:rsidR="0079270F">
              <w:t xml:space="preserve"> </w:t>
            </w:r>
            <w:r w:rsidR="00BF2CE1">
              <w:t xml:space="preserve"> </w:t>
            </w:r>
            <w:r w:rsidR="0079270F">
              <w:t>366 461,65 €</w:t>
            </w:r>
            <w:r w:rsidR="0063621E">
              <w:t xml:space="preserve">                       </w:t>
            </w:r>
          </w:p>
        </w:tc>
      </w:tr>
      <w:tr w:rsidR="005F2609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9" w:rsidRDefault="005F2609" w:rsidP="005F2609">
            <w:pPr>
              <w:pStyle w:val="Paragraphedeliste"/>
              <w:ind w:left="0"/>
            </w:pPr>
            <w:r>
              <w:t>Virement à l’investissement                        150 790 €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9" w:rsidRDefault="005F2609" w:rsidP="006F73C4">
            <w:pPr>
              <w:pStyle w:val="Paragraphedeliste"/>
              <w:ind w:left="0"/>
            </w:pPr>
          </w:p>
        </w:tc>
      </w:tr>
      <w:tr w:rsidR="0063621E" w:rsidTr="005E0D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621E" w:rsidRPr="005F2609" w:rsidRDefault="0063621E" w:rsidP="006F73C4">
            <w:pPr>
              <w:pStyle w:val="Paragraphedeliste"/>
              <w:ind w:left="0"/>
              <w:rPr>
                <w:b/>
              </w:rPr>
            </w:pPr>
            <w:r w:rsidRPr="005F2609">
              <w:rPr>
                <w:b/>
              </w:rPr>
              <w:t xml:space="preserve">TOTAL                                                       </w:t>
            </w:r>
            <w:r w:rsidR="005F2609" w:rsidRPr="005F2609">
              <w:rPr>
                <w:b/>
              </w:rPr>
              <w:t xml:space="preserve">   </w:t>
            </w:r>
            <w:r w:rsidR="005F2609">
              <w:rPr>
                <w:b/>
              </w:rPr>
              <w:t xml:space="preserve"> </w:t>
            </w:r>
            <w:r w:rsidR="005F2609" w:rsidRPr="005F2609">
              <w:rPr>
                <w:b/>
              </w:rPr>
              <w:t xml:space="preserve">   341 194 €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621E" w:rsidRDefault="0063621E" w:rsidP="006F73C4">
            <w:pPr>
              <w:pStyle w:val="Paragraphedeliste"/>
              <w:ind w:left="0"/>
            </w:pPr>
            <w:r>
              <w:rPr>
                <w:b/>
              </w:rPr>
              <w:t xml:space="preserve">TOTAL   </w:t>
            </w:r>
            <w:r>
              <w:t xml:space="preserve">                                 </w:t>
            </w:r>
            <w:r w:rsidR="0079270F">
              <w:t xml:space="preserve">                </w:t>
            </w:r>
            <w:r>
              <w:t xml:space="preserve">  </w:t>
            </w:r>
            <w:r w:rsidR="0079270F" w:rsidRPr="0079270F">
              <w:rPr>
                <w:b/>
              </w:rPr>
              <w:t>607 189,65 €</w:t>
            </w:r>
            <w:r>
              <w:t xml:space="preserve">                 </w:t>
            </w:r>
          </w:p>
        </w:tc>
      </w:tr>
      <w:tr w:rsidR="0063621E" w:rsidTr="005E0DEF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3621E" w:rsidRDefault="0063621E">
            <w:pPr>
              <w:jc w:val="center"/>
            </w:pPr>
            <w:r>
              <w:t>INVESTISSEMENT</w:t>
            </w:r>
          </w:p>
        </w:tc>
      </w:tr>
      <w:tr w:rsidR="0063621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63621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0360EE" w:rsidP="001F501B">
            <w:pPr>
              <w:jc w:val="both"/>
            </w:pPr>
            <w:r>
              <w:t>Emprunts (capital) et cautions</w:t>
            </w:r>
            <w:r w:rsidR="0063621E">
              <w:t xml:space="preserve">   </w:t>
            </w:r>
            <w:r w:rsidR="001F501B">
              <w:t xml:space="preserve">                   31 500 €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9134D8">
            <w:r>
              <w:t xml:space="preserve">Subventions                                         </w:t>
            </w:r>
            <w:r w:rsidR="009134D8">
              <w:t xml:space="preserve">          215 100 € </w:t>
            </w:r>
            <w:r>
              <w:t xml:space="preserve">             </w:t>
            </w:r>
          </w:p>
        </w:tc>
      </w:tr>
      <w:tr w:rsidR="0063621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441440">
            <w:r>
              <w:t xml:space="preserve">Travaux d’investissement                        </w:t>
            </w:r>
            <w:r w:rsidR="001F501B">
              <w:t xml:space="preserve">    413 190 €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1F501B" w:rsidP="009134D8">
            <w:r>
              <w:t>Prêt bancaire et cautions</w:t>
            </w:r>
            <w:r w:rsidR="0063621E">
              <w:t xml:space="preserve">                               </w:t>
            </w:r>
            <w:r w:rsidR="009134D8">
              <w:t>82 500 €</w:t>
            </w:r>
            <w:r w:rsidR="0063621E">
              <w:t xml:space="preserve"> </w:t>
            </w:r>
          </w:p>
        </w:tc>
      </w:tr>
      <w:tr w:rsidR="0063621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1E" w:rsidRDefault="000360EE">
            <w:r>
              <w:t>Restes à réaliser</w:t>
            </w:r>
            <w:r w:rsidR="001F501B">
              <w:t xml:space="preserve">                                              25 600 €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63621E" w:rsidP="00441440">
            <w:r>
              <w:t xml:space="preserve">FCTVA                                                           </w:t>
            </w:r>
            <w:r w:rsidR="009134D8">
              <w:t xml:space="preserve">       5 100 €</w:t>
            </w:r>
          </w:p>
        </w:tc>
      </w:tr>
      <w:tr w:rsidR="0063621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1E" w:rsidRDefault="000360EE">
            <w:r>
              <w:t>Dépenses imprévues</w:t>
            </w:r>
            <w:r w:rsidR="001F501B">
              <w:t xml:space="preserve">                                         5 000 €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1E" w:rsidRDefault="009134D8" w:rsidP="00441440">
            <w:r>
              <w:t>Virement du fonctionnement                     150 790 €</w:t>
            </w:r>
          </w:p>
        </w:tc>
      </w:tr>
      <w:tr w:rsidR="000360E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E" w:rsidRDefault="000360EE" w:rsidP="001F501B">
            <w:r>
              <w:t>Solde antérieur reporté</w:t>
            </w:r>
            <w:r w:rsidR="001F501B">
              <w:t xml:space="preserve">                              46 514,48€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E" w:rsidRDefault="00563617" w:rsidP="00441440">
            <w:r>
              <w:t>Excédent</w:t>
            </w:r>
            <w:r w:rsidR="009134D8">
              <w:t xml:space="preserve"> foncti</w:t>
            </w:r>
            <w:r>
              <w:t xml:space="preserve">onnement capitalisé   </w:t>
            </w:r>
            <w:r w:rsidR="009134D8">
              <w:t xml:space="preserve">   68 314,48 €</w:t>
            </w:r>
          </w:p>
        </w:tc>
      </w:tr>
      <w:tr w:rsidR="0063621E" w:rsidTr="005E0DEF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621E" w:rsidRDefault="0063621E" w:rsidP="001F501B">
            <w:pPr>
              <w:rPr>
                <w:b/>
              </w:rPr>
            </w:pPr>
            <w:r>
              <w:rPr>
                <w:b/>
              </w:rPr>
              <w:t xml:space="preserve">TOTAL                                                    </w:t>
            </w:r>
            <w:r w:rsidR="001F501B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1F501B">
              <w:rPr>
                <w:b/>
              </w:rPr>
              <w:t>521 804,48 €</w:t>
            </w:r>
            <w:r>
              <w:rPr>
                <w:b/>
              </w:rPr>
              <w:t xml:space="preserve">  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621E" w:rsidRDefault="0063621E" w:rsidP="00441440">
            <w:pPr>
              <w:rPr>
                <w:b/>
              </w:rPr>
            </w:pPr>
            <w:r>
              <w:rPr>
                <w:b/>
              </w:rPr>
              <w:t xml:space="preserve">TOTAL                                                        </w:t>
            </w:r>
            <w:r w:rsidR="009134D8">
              <w:rPr>
                <w:b/>
              </w:rPr>
              <w:t>521 804,48 €</w:t>
            </w:r>
            <w:r>
              <w:rPr>
                <w:b/>
              </w:rPr>
              <w:t xml:space="preserve">   </w:t>
            </w:r>
          </w:p>
        </w:tc>
      </w:tr>
    </w:tbl>
    <w:p w:rsidR="0063621E" w:rsidRDefault="0063621E" w:rsidP="0063621E">
      <w:pPr>
        <w:pStyle w:val="Paragraphedeliste"/>
        <w:tabs>
          <w:tab w:val="left" w:pos="-142"/>
        </w:tabs>
        <w:ind w:left="218"/>
        <w:jc w:val="both"/>
      </w:pPr>
    </w:p>
    <w:p w:rsidR="00563617" w:rsidRDefault="00563617" w:rsidP="0063621E">
      <w:pPr>
        <w:pStyle w:val="Paragraphedeliste"/>
        <w:tabs>
          <w:tab w:val="left" w:pos="-142"/>
        </w:tabs>
        <w:ind w:left="218"/>
        <w:jc w:val="both"/>
      </w:pPr>
      <w:r>
        <w:t xml:space="preserve">Les principaux </w:t>
      </w:r>
      <w:r w:rsidRPr="00563617">
        <w:rPr>
          <w:b/>
        </w:rPr>
        <w:t>travaux d’investissement</w:t>
      </w:r>
      <w:r>
        <w:t xml:space="preserve"> prévus sont :</w:t>
      </w:r>
    </w:p>
    <w:p w:rsidR="00563617" w:rsidRDefault="00563617" w:rsidP="00563617">
      <w:pPr>
        <w:pStyle w:val="Paragraphedeliste"/>
        <w:numPr>
          <w:ilvl w:val="0"/>
          <w:numId w:val="2"/>
        </w:numPr>
        <w:tabs>
          <w:tab w:val="left" w:pos="-142"/>
        </w:tabs>
        <w:jc w:val="both"/>
      </w:pPr>
      <w:r>
        <w:t>Réfection du toit de l’église et du clocher : 329 000 €</w:t>
      </w:r>
      <w:r w:rsidR="00FC486D">
        <w:t xml:space="preserve"> (subventionnés à 60 %)</w:t>
      </w:r>
    </w:p>
    <w:p w:rsidR="00563617" w:rsidRDefault="00563617" w:rsidP="00563617">
      <w:pPr>
        <w:pStyle w:val="Paragraphedeliste"/>
        <w:numPr>
          <w:ilvl w:val="0"/>
          <w:numId w:val="2"/>
        </w:numPr>
        <w:tabs>
          <w:tab w:val="left" w:pos="-142"/>
        </w:tabs>
        <w:jc w:val="both"/>
      </w:pPr>
      <w:r>
        <w:t>Réfection et entretien des logements : 21 100 €</w:t>
      </w:r>
    </w:p>
    <w:p w:rsidR="00563617" w:rsidRDefault="00563617" w:rsidP="00563617">
      <w:pPr>
        <w:pStyle w:val="Paragraphedeliste"/>
        <w:numPr>
          <w:ilvl w:val="0"/>
          <w:numId w:val="2"/>
        </w:numPr>
        <w:tabs>
          <w:tab w:val="left" w:pos="-142"/>
        </w:tabs>
        <w:jc w:val="both"/>
      </w:pPr>
      <w:r>
        <w:t xml:space="preserve">Travaux ruisseau du </w:t>
      </w:r>
      <w:proofErr w:type="spellStart"/>
      <w:r>
        <w:t>Merdey</w:t>
      </w:r>
      <w:proofErr w:type="spellEnd"/>
      <w:r>
        <w:t> et pose bordures : 31 500 €</w:t>
      </w:r>
    </w:p>
    <w:p w:rsidR="00563617" w:rsidRDefault="00563617" w:rsidP="00563617">
      <w:pPr>
        <w:pStyle w:val="Paragraphedeliste"/>
        <w:numPr>
          <w:ilvl w:val="0"/>
          <w:numId w:val="2"/>
        </w:numPr>
        <w:tabs>
          <w:tab w:val="left" w:pos="-142"/>
        </w:tabs>
        <w:jc w:val="both"/>
      </w:pPr>
      <w:r>
        <w:t>Démolition maison Bonin : 15 000 €</w:t>
      </w:r>
    </w:p>
    <w:p w:rsidR="00563617" w:rsidRDefault="00563617" w:rsidP="00563617">
      <w:pPr>
        <w:tabs>
          <w:tab w:val="left" w:pos="-142"/>
        </w:tabs>
        <w:jc w:val="both"/>
      </w:pPr>
      <w:r>
        <w:t xml:space="preserve">Le budget primitif 2021 est adopté </w:t>
      </w:r>
      <w:r w:rsidRPr="000B3242">
        <w:rPr>
          <w:b/>
        </w:rPr>
        <w:t>à l’unanimité</w:t>
      </w:r>
      <w:r>
        <w:t>.</w:t>
      </w:r>
    </w:p>
    <w:p w:rsidR="0063621E" w:rsidRDefault="00912618" w:rsidP="00912618">
      <w:pPr>
        <w:pStyle w:val="Paragraphedeliste"/>
        <w:numPr>
          <w:ilvl w:val="0"/>
          <w:numId w:val="1"/>
        </w:numPr>
        <w:tabs>
          <w:tab w:val="left" w:pos="-142"/>
        </w:tabs>
        <w:jc w:val="both"/>
      </w:pPr>
      <w:r w:rsidRPr="00912618">
        <w:rPr>
          <w:b/>
          <w:u w:val="single"/>
        </w:rPr>
        <w:t>Budget primitif 2021</w:t>
      </w:r>
      <w:r w:rsidR="0063621E" w:rsidRPr="00912618">
        <w:rPr>
          <w:b/>
          <w:u w:val="single"/>
        </w:rPr>
        <w:t xml:space="preserve"> de l’assainissement</w:t>
      </w:r>
      <w:r w:rsidR="0063621E">
        <w:rPr>
          <w:b/>
        </w:rPr>
        <w:t> :</w:t>
      </w:r>
    </w:p>
    <w:p w:rsidR="00581697" w:rsidRDefault="00912618" w:rsidP="00114E3A">
      <w:pPr>
        <w:pStyle w:val="Paragraphedeliste"/>
        <w:tabs>
          <w:tab w:val="left" w:pos="-142"/>
        </w:tabs>
        <w:ind w:left="142"/>
      </w:pPr>
      <w:r w:rsidRPr="00912618">
        <w:t>Il est équilibré</w:t>
      </w:r>
      <w:r w:rsidR="00581697">
        <w:t xml:space="preserve"> en dépenses et recettes</w:t>
      </w:r>
      <w:r w:rsidRPr="00912618">
        <w:t xml:space="preserve"> au niveau de la s</w:t>
      </w:r>
      <w:r w:rsidR="0063621E" w:rsidRPr="00912618">
        <w:t>ection d’exploitation</w:t>
      </w:r>
      <w:r>
        <w:t xml:space="preserve"> à </w:t>
      </w:r>
      <w:r w:rsidRPr="00912618">
        <w:rPr>
          <w:b/>
        </w:rPr>
        <w:t>22 382,22 €.</w:t>
      </w:r>
      <w:r>
        <w:t xml:space="preserve"> Compte tenu du report des années antérieures, la section d’investissement est en suréquilibre : les dépenses s’élèvent à </w:t>
      </w:r>
      <w:r w:rsidRPr="00912618">
        <w:rPr>
          <w:b/>
        </w:rPr>
        <w:t>8 688 €</w:t>
      </w:r>
      <w:r>
        <w:t xml:space="preserve"> et les recettes à </w:t>
      </w:r>
      <w:r w:rsidRPr="00912618">
        <w:rPr>
          <w:b/>
        </w:rPr>
        <w:t>54 863,20 €.</w:t>
      </w:r>
      <w:r w:rsidR="00581697">
        <w:rPr>
          <w:b/>
        </w:rPr>
        <w:t xml:space="preserve"> </w:t>
      </w:r>
      <w:r w:rsidR="00581697">
        <w:t xml:space="preserve">Le conseil municipal adopte ce budget </w:t>
      </w:r>
      <w:r w:rsidR="00581697" w:rsidRPr="000B3242">
        <w:rPr>
          <w:b/>
        </w:rPr>
        <w:t>à l’unanimité</w:t>
      </w:r>
      <w:r w:rsidR="00581697">
        <w:t>.</w:t>
      </w:r>
    </w:p>
    <w:p w:rsidR="00114E3A" w:rsidRDefault="00114E3A" w:rsidP="00581697">
      <w:pPr>
        <w:pStyle w:val="Paragraphedeliste"/>
        <w:tabs>
          <w:tab w:val="left" w:pos="-142"/>
        </w:tabs>
        <w:ind w:left="284" w:hanging="142"/>
      </w:pPr>
    </w:p>
    <w:p w:rsidR="00FA515C" w:rsidRPr="00FA515C" w:rsidRDefault="000B3242" w:rsidP="000B3242">
      <w:pPr>
        <w:pStyle w:val="Paragraphedeliste"/>
        <w:numPr>
          <w:ilvl w:val="0"/>
          <w:numId w:val="1"/>
        </w:numPr>
        <w:tabs>
          <w:tab w:val="left" w:pos="-142"/>
        </w:tabs>
      </w:pPr>
      <w:r w:rsidRPr="00FA515C">
        <w:rPr>
          <w:b/>
          <w:u w:val="single"/>
        </w:rPr>
        <w:lastRenderedPageBreak/>
        <w:t>Sectorisation collège</w:t>
      </w:r>
      <w:r w:rsidRPr="00FA515C">
        <w:rPr>
          <w:b/>
        </w:rPr>
        <w:t> :</w:t>
      </w:r>
    </w:p>
    <w:p w:rsidR="00FA515C" w:rsidRPr="00114E3A" w:rsidRDefault="00FA515C" w:rsidP="00FA515C">
      <w:pPr>
        <w:pStyle w:val="Paragraphedeliste"/>
        <w:tabs>
          <w:tab w:val="left" w:pos="-142"/>
        </w:tabs>
        <w:ind w:left="218"/>
      </w:pPr>
      <w:r>
        <w:t xml:space="preserve">Un sondage a été effectué auprès des parents d’élèves sur leur souhait de scolarisation au collège en leur proposant le choix </w:t>
      </w:r>
      <w:r w:rsidRPr="00114E3A">
        <w:rPr>
          <w:b/>
        </w:rPr>
        <w:t xml:space="preserve">entre Saint Loup sur </w:t>
      </w:r>
      <w:proofErr w:type="spellStart"/>
      <w:r w:rsidRPr="00114E3A">
        <w:rPr>
          <w:b/>
        </w:rPr>
        <w:t>Semouse</w:t>
      </w:r>
      <w:proofErr w:type="spellEnd"/>
      <w:r w:rsidRPr="00114E3A">
        <w:rPr>
          <w:b/>
        </w:rPr>
        <w:t xml:space="preserve"> et </w:t>
      </w:r>
      <w:proofErr w:type="spellStart"/>
      <w:r w:rsidRPr="00114E3A">
        <w:rPr>
          <w:b/>
        </w:rPr>
        <w:t>Vauvillers</w:t>
      </w:r>
      <w:proofErr w:type="spellEnd"/>
      <w:r>
        <w:t xml:space="preserve">.  </w:t>
      </w:r>
      <w:r w:rsidRPr="00114E3A">
        <w:t xml:space="preserve">Sur les douze familles interrogées, dix ont fait le choix du collège André Masson de Saint Loup, une famille a choisi le collège Charles Péguy de </w:t>
      </w:r>
      <w:proofErr w:type="spellStart"/>
      <w:r w:rsidRPr="00114E3A">
        <w:t>Vauvillers</w:t>
      </w:r>
      <w:proofErr w:type="spellEnd"/>
      <w:r w:rsidRPr="00114E3A">
        <w:t xml:space="preserve"> et une famille reste indécise.</w:t>
      </w:r>
    </w:p>
    <w:p w:rsidR="000B3242" w:rsidRDefault="00FA515C" w:rsidP="00FA515C">
      <w:pPr>
        <w:pStyle w:val="Paragraphedeliste"/>
        <w:tabs>
          <w:tab w:val="left" w:pos="-142"/>
        </w:tabs>
        <w:ind w:left="218"/>
        <w:rPr>
          <w:b/>
        </w:rPr>
      </w:pPr>
      <w:r>
        <w:t>Compte tenu des résultats de ce sondage, le conseil municipal, par délibération, demande aux services de l’Education Nationale et du</w:t>
      </w:r>
      <w:r w:rsidR="00764CC2">
        <w:t xml:space="preserve"> Conseil</w:t>
      </w:r>
      <w:r>
        <w:t xml:space="preserve"> Département</w:t>
      </w:r>
      <w:r w:rsidR="00764CC2">
        <w:t>al</w:t>
      </w:r>
      <w:r>
        <w:t xml:space="preserve"> </w:t>
      </w:r>
      <w:r w:rsidRPr="00764CC2">
        <w:rPr>
          <w:b/>
        </w:rPr>
        <w:t xml:space="preserve">le rattachement de la commune de </w:t>
      </w:r>
      <w:proofErr w:type="spellStart"/>
      <w:r w:rsidRPr="00764CC2">
        <w:rPr>
          <w:b/>
        </w:rPr>
        <w:t>Jasney</w:t>
      </w:r>
      <w:proofErr w:type="spellEnd"/>
      <w:r w:rsidRPr="00764CC2">
        <w:rPr>
          <w:b/>
        </w:rPr>
        <w:t xml:space="preserve"> </w:t>
      </w:r>
      <w:r w:rsidR="00764CC2" w:rsidRPr="00764CC2">
        <w:rPr>
          <w:b/>
        </w:rPr>
        <w:t xml:space="preserve">au secteur du collège de Saint Loup sur </w:t>
      </w:r>
      <w:proofErr w:type="spellStart"/>
      <w:r w:rsidR="00764CC2" w:rsidRPr="00764CC2">
        <w:rPr>
          <w:b/>
        </w:rPr>
        <w:t>Semouse</w:t>
      </w:r>
      <w:proofErr w:type="spellEnd"/>
      <w:r w:rsidR="00764CC2" w:rsidRPr="00764CC2">
        <w:rPr>
          <w:b/>
        </w:rPr>
        <w:t>.</w:t>
      </w:r>
    </w:p>
    <w:p w:rsidR="0026226C" w:rsidRDefault="0026226C" w:rsidP="00FA515C">
      <w:pPr>
        <w:pStyle w:val="Paragraphedeliste"/>
        <w:tabs>
          <w:tab w:val="left" w:pos="-142"/>
        </w:tabs>
        <w:ind w:left="218"/>
        <w:rPr>
          <w:b/>
        </w:rPr>
      </w:pPr>
    </w:p>
    <w:p w:rsidR="0026226C" w:rsidRDefault="0026226C" w:rsidP="0026226C">
      <w:pPr>
        <w:pStyle w:val="Paragraphedeliste"/>
        <w:numPr>
          <w:ilvl w:val="0"/>
          <w:numId w:val="1"/>
        </w:numPr>
        <w:tabs>
          <w:tab w:val="left" w:pos="-142"/>
        </w:tabs>
        <w:rPr>
          <w:b/>
        </w:rPr>
      </w:pPr>
      <w:r w:rsidRPr="0026226C">
        <w:rPr>
          <w:b/>
          <w:u w:val="single"/>
        </w:rPr>
        <w:t>Questions diverses</w:t>
      </w:r>
      <w:r>
        <w:rPr>
          <w:b/>
        </w:rPr>
        <w:t> :</w:t>
      </w:r>
    </w:p>
    <w:p w:rsidR="0063621E" w:rsidRDefault="00BB2D20" w:rsidP="00BB2D20">
      <w:pPr>
        <w:pStyle w:val="Paragraphedeliste"/>
        <w:numPr>
          <w:ilvl w:val="0"/>
          <w:numId w:val="2"/>
        </w:numPr>
        <w:tabs>
          <w:tab w:val="left" w:pos="-142"/>
        </w:tabs>
        <w:ind w:left="284"/>
      </w:pPr>
      <w:r w:rsidRPr="00BB2D20">
        <w:t xml:space="preserve">Les collectivités </w:t>
      </w:r>
      <w:r>
        <w:t xml:space="preserve">ont une obligation légale d’archivage et de conservation de certains documents. Il est nécessaire de procéder à un inventaire, un tri et un classement des archives de la commune. A ce titre, </w:t>
      </w:r>
      <w:r w:rsidRPr="00114E3A">
        <w:t>le maire est autorisé à signer</w:t>
      </w:r>
      <w:r w:rsidRPr="00114E3A">
        <w:rPr>
          <w:b/>
        </w:rPr>
        <w:t xml:space="preserve"> un</w:t>
      </w:r>
      <w:r w:rsidR="0017121F">
        <w:rPr>
          <w:b/>
        </w:rPr>
        <w:t xml:space="preserve">e convention </w:t>
      </w:r>
      <w:r w:rsidR="0017121F" w:rsidRPr="00003E88">
        <w:t>avec le</w:t>
      </w:r>
      <w:r w:rsidRPr="00003E88">
        <w:t xml:space="preserve"> Centre de Gestion de la Fonction Publique Territoriale </w:t>
      </w:r>
      <w:r>
        <w:t>po</w:t>
      </w:r>
      <w:r w:rsidR="0017121F">
        <w:t xml:space="preserve">ur </w:t>
      </w:r>
      <w:r w:rsidR="0017121F" w:rsidRPr="00003E88">
        <w:rPr>
          <w:b/>
        </w:rPr>
        <w:t>une mission d’accompagnement par un archiviste</w:t>
      </w:r>
      <w:r w:rsidR="0017121F">
        <w:t>.</w:t>
      </w:r>
    </w:p>
    <w:p w:rsidR="00BB2D20" w:rsidRDefault="00114E3A" w:rsidP="00BB2D20">
      <w:pPr>
        <w:pStyle w:val="Paragraphedeliste"/>
        <w:numPr>
          <w:ilvl w:val="0"/>
          <w:numId w:val="2"/>
        </w:numPr>
        <w:tabs>
          <w:tab w:val="left" w:pos="-142"/>
        </w:tabs>
        <w:ind w:left="284"/>
      </w:pPr>
      <w:r>
        <w:t xml:space="preserve">La commune </w:t>
      </w:r>
      <w:r w:rsidRPr="008C3E03">
        <w:rPr>
          <w:b/>
        </w:rPr>
        <w:t>d’</w:t>
      </w:r>
      <w:proofErr w:type="spellStart"/>
      <w:r w:rsidRPr="008C3E03">
        <w:rPr>
          <w:b/>
        </w:rPr>
        <w:t>Anchenoncourt</w:t>
      </w:r>
      <w:proofErr w:type="spellEnd"/>
      <w:r w:rsidRPr="008C3E03">
        <w:rPr>
          <w:b/>
        </w:rPr>
        <w:t xml:space="preserve"> et </w:t>
      </w:r>
      <w:proofErr w:type="spellStart"/>
      <w:r w:rsidRPr="008C3E03">
        <w:rPr>
          <w:b/>
        </w:rPr>
        <w:t>Chazel</w:t>
      </w:r>
      <w:proofErr w:type="spellEnd"/>
      <w:r>
        <w:t xml:space="preserve"> a dema</w:t>
      </w:r>
      <w:r w:rsidR="000C1971">
        <w:t xml:space="preserve">ndé son </w:t>
      </w:r>
      <w:proofErr w:type="gramStart"/>
      <w:r w:rsidR="000C1971">
        <w:t xml:space="preserve">retrait de la </w:t>
      </w:r>
      <w:proofErr w:type="spellStart"/>
      <w:r w:rsidR="000C1971">
        <w:t>com</w:t>
      </w:r>
      <w:proofErr w:type="spellEnd"/>
      <w:r w:rsidR="000C1971">
        <w:t xml:space="preserve"> de </w:t>
      </w:r>
      <w:proofErr w:type="spellStart"/>
      <w:r w:rsidR="000C1971">
        <w:t>com</w:t>
      </w:r>
      <w:proofErr w:type="spellEnd"/>
      <w:r>
        <w:t xml:space="preserve"> de la Haute Comté </w:t>
      </w:r>
      <w:proofErr w:type="gramEnd"/>
      <w:r w:rsidR="000C1971">
        <w:t xml:space="preserve"> (CCHC) </w:t>
      </w:r>
      <w:r>
        <w:t xml:space="preserve">pour intégrer celle de Terres de Saône. Après la décision favorable du conseil communautaire, </w:t>
      </w:r>
      <w:r w:rsidRPr="00114E3A">
        <w:rPr>
          <w:b/>
        </w:rPr>
        <w:t xml:space="preserve">le conseil municipal de </w:t>
      </w:r>
      <w:proofErr w:type="spellStart"/>
      <w:r w:rsidRPr="00114E3A">
        <w:rPr>
          <w:b/>
        </w:rPr>
        <w:t>Jasney</w:t>
      </w:r>
      <w:proofErr w:type="spellEnd"/>
      <w:r w:rsidRPr="00114E3A">
        <w:rPr>
          <w:b/>
        </w:rPr>
        <w:t xml:space="preserve"> accepte cette modification de périmètre</w:t>
      </w:r>
      <w:r>
        <w:t xml:space="preserve"> de la CCHC.</w:t>
      </w:r>
    </w:p>
    <w:p w:rsidR="00114E3A" w:rsidRDefault="008C3E03" w:rsidP="00BB2D20">
      <w:pPr>
        <w:pStyle w:val="Paragraphedeliste"/>
        <w:numPr>
          <w:ilvl w:val="0"/>
          <w:numId w:val="2"/>
        </w:numPr>
        <w:tabs>
          <w:tab w:val="left" w:pos="-142"/>
        </w:tabs>
        <w:ind w:left="284"/>
      </w:pPr>
      <w:r>
        <w:t xml:space="preserve">La communauté de communes offre aux mairies la possibilité de communiquer avec leurs administrés via l’application mobile </w:t>
      </w:r>
      <w:proofErr w:type="spellStart"/>
      <w:r w:rsidRPr="008C3E03">
        <w:rPr>
          <w:b/>
        </w:rPr>
        <w:t>PanneauPocket</w:t>
      </w:r>
      <w:proofErr w:type="spellEnd"/>
      <w:r>
        <w:t xml:space="preserve">. Celle-ci  permet de recevoir directement sur son portable les infos et alertes de la mairie. Le compte </w:t>
      </w:r>
      <w:proofErr w:type="spellStart"/>
      <w:r>
        <w:t>PanneauPocket</w:t>
      </w:r>
      <w:proofErr w:type="spellEnd"/>
      <w:r>
        <w:t xml:space="preserve"> de notre commune va donc être ouvert bientôt.</w:t>
      </w:r>
    </w:p>
    <w:p w:rsidR="008C3E03" w:rsidRPr="007559E6" w:rsidRDefault="008C3E03" w:rsidP="00BB2D20">
      <w:pPr>
        <w:pStyle w:val="Paragraphedeliste"/>
        <w:numPr>
          <w:ilvl w:val="0"/>
          <w:numId w:val="2"/>
        </w:numPr>
        <w:tabs>
          <w:tab w:val="left" w:pos="-142"/>
        </w:tabs>
        <w:ind w:left="284"/>
      </w:pPr>
      <w:r>
        <w:t xml:space="preserve">Le conseil accepte la proposition du maire concernant </w:t>
      </w:r>
      <w:r w:rsidRPr="007559E6">
        <w:rPr>
          <w:b/>
        </w:rPr>
        <w:t>une modification des horaires</w:t>
      </w:r>
      <w:r w:rsidR="007559E6">
        <w:rPr>
          <w:b/>
        </w:rPr>
        <w:t xml:space="preserve"> d’été et d’hiver</w:t>
      </w:r>
      <w:r w:rsidRPr="007559E6">
        <w:rPr>
          <w:b/>
        </w:rPr>
        <w:t xml:space="preserve"> de l’employé communal</w:t>
      </w:r>
      <w:r w:rsidR="007559E6">
        <w:rPr>
          <w:b/>
        </w:rPr>
        <w:t xml:space="preserve">. </w:t>
      </w:r>
      <w:r w:rsidR="007559E6" w:rsidRPr="007559E6">
        <w:t>Son temps de travail hebdomadaire reste fixé à 24h15</w:t>
      </w:r>
      <w:r w:rsidR="00EE42EB">
        <w:t xml:space="preserve"> sur la</w:t>
      </w:r>
      <w:r w:rsidR="007559E6">
        <w:t xml:space="preserve"> commune.</w:t>
      </w:r>
    </w:p>
    <w:p w:rsidR="007559E6" w:rsidRPr="00A02E10" w:rsidRDefault="00A02E10" w:rsidP="00BB2D20">
      <w:pPr>
        <w:pStyle w:val="Paragraphedeliste"/>
        <w:numPr>
          <w:ilvl w:val="0"/>
          <w:numId w:val="2"/>
        </w:numPr>
        <w:tabs>
          <w:tab w:val="left" w:pos="-142"/>
        </w:tabs>
        <w:ind w:left="284"/>
        <w:rPr>
          <w:b/>
        </w:rPr>
      </w:pPr>
      <w:r>
        <w:t>Conformément à la réglementation en vigueur, l</w:t>
      </w:r>
      <w:r w:rsidR="007559E6" w:rsidRPr="007559E6">
        <w:t xml:space="preserve">es élus approuvent </w:t>
      </w:r>
      <w:r w:rsidR="007559E6" w:rsidRPr="00A02E10">
        <w:rPr>
          <w:b/>
        </w:rPr>
        <w:t xml:space="preserve">le rapport annuel sur le prix et la qualité du service public de l’assainissement </w:t>
      </w:r>
      <w:r w:rsidR="000C1971">
        <w:rPr>
          <w:b/>
        </w:rPr>
        <w:t xml:space="preserve">non </w:t>
      </w:r>
      <w:r w:rsidR="007559E6" w:rsidRPr="00A02E10">
        <w:rPr>
          <w:b/>
        </w:rPr>
        <w:t>collectif</w:t>
      </w:r>
      <w:r w:rsidR="000C1971">
        <w:rPr>
          <w:b/>
        </w:rPr>
        <w:t xml:space="preserve"> </w:t>
      </w:r>
      <w:r w:rsidR="000C1971">
        <w:t>dont la compétence relève de la CCHC.</w:t>
      </w:r>
    </w:p>
    <w:p w:rsidR="00D42C97" w:rsidRPr="00D42C97" w:rsidRDefault="00D86D7C" w:rsidP="00BB2D20">
      <w:pPr>
        <w:pStyle w:val="Paragraphedeliste"/>
        <w:numPr>
          <w:ilvl w:val="0"/>
          <w:numId w:val="2"/>
        </w:numPr>
        <w:tabs>
          <w:tab w:val="left" w:pos="-142"/>
        </w:tabs>
        <w:ind w:left="284"/>
      </w:pPr>
      <w:r>
        <w:t xml:space="preserve">Par délibération, le maire est autorisé à formuler </w:t>
      </w:r>
      <w:r w:rsidR="00D42C97">
        <w:rPr>
          <w:b/>
        </w:rPr>
        <w:t>deux</w:t>
      </w:r>
      <w:r w:rsidRPr="00D86D7C">
        <w:rPr>
          <w:b/>
        </w:rPr>
        <w:t xml:space="preserve"> demande</w:t>
      </w:r>
      <w:r w:rsidR="00D42C97">
        <w:rPr>
          <w:b/>
        </w:rPr>
        <w:t>s</w:t>
      </w:r>
      <w:r w:rsidRPr="00D86D7C">
        <w:rPr>
          <w:b/>
        </w:rPr>
        <w:t xml:space="preserve"> de subvention</w:t>
      </w:r>
      <w:r w:rsidR="00D42C97">
        <w:rPr>
          <w:b/>
        </w:rPr>
        <w:t> :</w:t>
      </w:r>
    </w:p>
    <w:p w:rsidR="00D86D7C" w:rsidRDefault="003759C4" w:rsidP="00D42C97">
      <w:pPr>
        <w:pStyle w:val="Paragraphedeliste"/>
        <w:tabs>
          <w:tab w:val="left" w:pos="-142"/>
        </w:tabs>
        <w:ind w:left="284"/>
      </w:pPr>
      <w:proofErr w:type="gramStart"/>
      <w:r>
        <w:t>l</w:t>
      </w:r>
      <w:r w:rsidR="00EE42EB">
        <w:t>’</w:t>
      </w:r>
      <w:r w:rsidR="00D42C97">
        <w:t>une</w:t>
      </w:r>
      <w:proofErr w:type="gramEnd"/>
      <w:r w:rsidR="00D86D7C">
        <w:t xml:space="preserve"> au Conseil Départemental pour la pose de bordures de trottoir rue du lavoir et</w:t>
      </w:r>
      <w:r w:rsidR="00EE42EB">
        <w:t xml:space="preserve"> l’</w:t>
      </w:r>
      <w:r w:rsidR="00D42C97">
        <w:t>autre</w:t>
      </w:r>
      <w:r w:rsidR="00D86D7C">
        <w:t xml:space="preserve"> au titre des amendes de police  pour la mise en place de panneaux de signalétique.</w:t>
      </w:r>
    </w:p>
    <w:p w:rsidR="00D42C97" w:rsidRDefault="00D42C97" w:rsidP="00D42C97">
      <w:pPr>
        <w:pStyle w:val="Paragraphedeliste"/>
        <w:tabs>
          <w:tab w:val="left" w:pos="-142"/>
        </w:tabs>
        <w:ind w:left="284"/>
        <w:jc w:val="center"/>
      </w:pPr>
    </w:p>
    <w:p w:rsidR="00D42C97" w:rsidRDefault="00D42C97" w:rsidP="00D42C97">
      <w:pPr>
        <w:pStyle w:val="Paragraphedeliste"/>
        <w:tabs>
          <w:tab w:val="left" w:pos="-142"/>
        </w:tabs>
        <w:ind w:left="284"/>
        <w:jc w:val="center"/>
      </w:pPr>
      <w:r>
        <w:t xml:space="preserve">                                                                                                                   La séance est levée à 22h45</w:t>
      </w:r>
    </w:p>
    <w:p w:rsidR="00D86D7C" w:rsidRDefault="00D86D7C" w:rsidP="00D86D7C">
      <w:pPr>
        <w:tabs>
          <w:tab w:val="left" w:pos="-142"/>
        </w:tabs>
        <w:ind w:left="-76"/>
      </w:pPr>
    </w:p>
    <w:p w:rsidR="00D86D7C" w:rsidRPr="007559E6" w:rsidRDefault="00D86D7C" w:rsidP="00D86D7C">
      <w:pPr>
        <w:pStyle w:val="Paragraphedeliste"/>
        <w:tabs>
          <w:tab w:val="left" w:pos="-142"/>
        </w:tabs>
        <w:ind w:left="284"/>
      </w:pPr>
    </w:p>
    <w:p w:rsidR="008C3E03" w:rsidRPr="007559E6" w:rsidRDefault="008C3E03" w:rsidP="008C3E03">
      <w:pPr>
        <w:pStyle w:val="Paragraphedeliste"/>
        <w:tabs>
          <w:tab w:val="left" w:pos="-142"/>
        </w:tabs>
        <w:ind w:left="284"/>
      </w:pPr>
    </w:p>
    <w:p w:rsidR="00B112E8" w:rsidRPr="00BB2D20" w:rsidRDefault="00B112E8"/>
    <w:sectPr w:rsidR="00B112E8" w:rsidRPr="00BB2D20" w:rsidSect="00114E3A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BD"/>
    <w:multiLevelType w:val="hybridMultilevel"/>
    <w:tmpl w:val="F1862F52"/>
    <w:lvl w:ilvl="0" w:tplc="791A63D2">
      <w:start w:val="1"/>
      <w:numFmt w:val="decimal"/>
      <w:lvlText w:val="%1)"/>
      <w:lvlJc w:val="left"/>
      <w:pPr>
        <w:ind w:left="21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D1D52"/>
    <w:multiLevelType w:val="hybridMultilevel"/>
    <w:tmpl w:val="9BA49096"/>
    <w:lvl w:ilvl="0" w:tplc="648CE6B6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3621E"/>
    <w:rsid w:val="00003E88"/>
    <w:rsid w:val="0001311D"/>
    <w:rsid w:val="000360EE"/>
    <w:rsid w:val="000B3242"/>
    <w:rsid w:val="000C1971"/>
    <w:rsid w:val="000F08DA"/>
    <w:rsid w:val="00114E3A"/>
    <w:rsid w:val="0017121F"/>
    <w:rsid w:val="001A07A5"/>
    <w:rsid w:val="001C39E3"/>
    <w:rsid w:val="001F501B"/>
    <w:rsid w:val="0026226C"/>
    <w:rsid w:val="002924FD"/>
    <w:rsid w:val="003360DD"/>
    <w:rsid w:val="003759C4"/>
    <w:rsid w:val="00441440"/>
    <w:rsid w:val="00463191"/>
    <w:rsid w:val="004A29F7"/>
    <w:rsid w:val="004C587C"/>
    <w:rsid w:val="00563617"/>
    <w:rsid w:val="00581697"/>
    <w:rsid w:val="005E0DEF"/>
    <w:rsid w:val="005F2609"/>
    <w:rsid w:val="0063621E"/>
    <w:rsid w:val="006F73C4"/>
    <w:rsid w:val="0075518D"/>
    <w:rsid w:val="007559E6"/>
    <w:rsid w:val="00764CC2"/>
    <w:rsid w:val="0079270F"/>
    <w:rsid w:val="00860A28"/>
    <w:rsid w:val="008C3E03"/>
    <w:rsid w:val="00912618"/>
    <w:rsid w:val="009134D8"/>
    <w:rsid w:val="00A02E10"/>
    <w:rsid w:val="00A23202"/>
    <w:rsid w:val="00A45014"/>
    <w:rsid w:val="00B112E8"/>
    <w:rsid w:val="00B30088"/>
    <w:rsid w:val="00B34F8E"/>
    <w:rsid w:val="00BB2D20"/>
    <w:rsid w:val="00BF2CE1"/>
    <w:rsid w:val="00C50190"/>
    <w:rsid w:val="00D42C97"/>
    <w:rsid w:val="00D86D7C"/>
    <w:rsid w:val="00DF7A1B"/>
    <w:rsid w:val="00EE42EB"/>
    <w:rsid w:val="00F47CCC"/>
    <w:rsid w:val="00FA38B8"/>
    <w:rsid w:val="00FA515C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2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37</cp:revision>
  <dcterms:created xsi:type="dcterms:W3CDTF">2021-04-16T05:54:00Z</dcterms:created>
  <dcterms:modified xsi:type="dcterms:W3CDTF">2021-04-18T10:02:00Z</dcterms:modified>
</cp:coreProperties>
</file>